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t xml:space="preserve"/>
      </w:r>
    </w:p>
    <w:p>
      <w:r>
        <w:t xml:space="preserve"/>
      </w:r>
    </w:p>
    <w:p>
      <w:r>
        <w:t xml:space="preserve"/>
      </w:r>
    </w:p>
    <w:p>
      <w:r>
        <w:t xml:space="preserve"/>
      </w:r>
    </w:p>
    <w:p>
      <w:r>
        <w:t xml:space="preserve"/>
      </w:r>
    </w:p>
    <w:p>
      <w:pPr>
        <w:spacing w:after="240"/>
        <w:jc w:val="center"/>
      </w:pPr>
      <w:r>
        <w:rPr>
          <w:rFonts w:ascii="Arial" w:cs="Arial" w:eastAsia="Arial" w:hAnsi="Arial"/>
          <w:b/>
          <w:bCs/>
          <w:color w:val="1F4E79"/>
          <w:sz w:val="44"/>
          <w:szCs w:val="44"/>
        </w:rPr>
        <w:t xml:space="preserve">Kainam Reseller Agreement</w:t>
      </w:r>
    </w:p>
    <w:p>
      <w:pPr>
        <w:spacing w:after="480"/>
        <w:jc w:val="center"/>
      </w:pPr>
      <w:r>
        <w:rPr>
          <w:rFonts w:ascii="Arial" w:cs="Arial" w:eastAsia="Arial" w:hAnsi="Arial"/>
          <w:i/>
          <w:iCs/>
          <w:color w:val="1F4E79"/>
          <w:sz w:val="28"/>
          <w:szCs w:val="28"/>
        </w:rPr>
        <w:t xml:space="preserve">Platform Resale and Distribution Terms</w:t>
      </w:r>
    </w:p>
    <w:p>
      <w:pPr>
        <w:spacing w:after="120" w:line="300" w:lineRule="atLeast"/>
      </w:pPr>
      <w:r>
        <w:t xml:space="preserve">Presented by Kainam</w:t>
      </w:r>
    </w:p>
    <w:p>
      <w:pPr>
        <w:spacing w:after="120" w:line="300" w:lineRule="atLeast"/>
      </w:pPr>
      <w:r>
        <w:t xml:space="preserve">Prepared for: PARTNER</w:t>
      </w:r>
    </w:p>
    <w:p>
      <w:pPr>
        <w:spacing w:after="120" w:line="300" w:lineRule="atLeast"/>
      </w:pPr>
      <w:r>
        <w:t xml:space="preserve">Date: ____________________</w:t>
      </w:r>
    </w:p>
    <w:p>
      <w:r>
        <w:t xml:space="preserve"/>
      </w:r>
    </w:p>
    <w:p>
      <w:pPr>
        <w:spacing w:after="120" w:line="300" w:lineRule="atLeast"/>
      </w:pPr>
      <w:r>
        <w:t xml:space="preserve">This document contains confidential information intended only for the recipient listed above.</w:t>
      </w:r>
    </w:p>
    <w:p>
      <w:r>
        <w:t xml:space="preserve"/>
      </w:r>
    </w:p>
    <w:p>
      <w:r>
        <w:t xml:space="preserve"/>
      </w:r>
    </w:p>
    <w:p>
      <w:r>
        <w:t xml:space="preserve"/>
      </w:r>
    </w:p>
    <w:p>
      <w:pPr>
        <w:spacing w:after="120" w:line="300" w:lineRule="atLeast"/>
      </w:pPr>
      <w:r>
        <w:rPr>
          <w:b/>
          <w:bCs/>
        </w:rPr>
        <w:t xml:space="preserve">Kainam Direct Access</w:t>
      </w:r>
    </w:p>
    <w:p>
      <w:pPr>
        <w:spacing w:after="120" w:line="300" w:lineRule="atLeast"/>
      </w:pPr>
      <w:r>
        <w:t xml:space="preserve">Louis Litrenta</w:t>
      </w:r>
    </w:p>
    <w:p>
      <w:pPr>
        <w:spacing w:after="120" w:line="300" w:lineRule="atLeast"/>
      </w:pPr>
      <w:r>
        <w:t xml:space="preserve">Vice President, Sales</w:t>
      </w:r>
    </w:p>
    <w:p>
      <w:pPr>
        <w:spacing w:after="120" w:line="300" w:lineRule="atLeast"/>
      </w:pPr>
      <w:r>
        <w:t xml:space="preserve">Email: llitrenta@kainam.ai</w:t>
      </w:r>
    </w:p>
    <w:p>
      <w:pPr>
        <w:spacing w:after="120" w:line="300" w:lineRule="atLeast"/>
      </w:pPr>
      <w:r>
        <w:t xml:space="preserve">Phone: 908.507.2835</w:t>
      </w:r>
    </w:p>
    <w:p>
      <w:r>
        <w:br w:type="page"/>
      </w:r>
    </w:p>
    <w:p>
      <w:pPr>
        <w:sectPr>
          <w:pgSz w:w="12240" w:h="15840" w:orient="portrait"/>
          <w:pgMar w:top="1440" w:right="1440" w:bottom="1440" w:left="1440" w:header="708" w:footer="708" w:gutter="0"/>
          <w:pgNumType/>
          <w:docGrid w:linePitch="360"/>
        </w:sectPr>
      </w:pPr>
    </w:p>
    <w:p>
      <w:pPr>
        <w:pStyle w:val="Heading1"/>
        <w:spacing w:after="160" w:before="320"/>
      </w:pPr>
      <w:r>
        <w:rPr>
          <w:rFonts w:ascii="Arial" w:cs="Arial" w:eastAsia="Arial" w:hAnsi="Arial"/>
          <w:b/>
          <w:bCs/>
          <w:color w:val="1F4E79"/>
          <w:sz w:val="28"/>
          <w:szCs w:val="28"/>
        </w:rPr>
        <w:t xml:space="preserve">Parties</w:t>
      </w:r>
    </w:p>
    <w:p>
      <w:pPr>
        <w:spacing w:after="120" w:line="300" w:lineRule="atLeast"/>
      </w:pPr>
      <w:r>
        <w:t xml:space="preserve">This Kainam Reseller Agreement ("Agreement") is made by and between Kainam Corporation, a Delaware corporation ("Kainam"), and the entity identified in the signature block below ("Partner"). Together, Kainam and the Partner are referred to herein as the "Parties."</w:t>
      </w:r>
    </w:p>
    <w:p>
      <w:pPr>
        <w:pStyle w:val="Heading1"/>
        <w:spacing w:after="160" w:before="320"/>
      </w:pPr>
      <w:r>
        <w:rPr>
          <w:rFonts w:ascii="Arial" w:cs="Arial" w:eastAsia="Arial" w:hAnsi="Arial"/>
          <w:b/>
          <w:bCs/>
          <w:color w:val="1F4E79"/>
          <w:sz w:val="28"/>
          <w:szCs w:val="28"/>
        </w:rPr>
        <w:t xml:space="preserve">Definitions</w:t>
      </w:r>
    </w:p>
    <w:p>
      <w:pPr>
        <w:spacing w:after="120" w:line="300" w:lineRule="atLeast"/>
      </w:pPr>
      <w:r>
        <w:t xml:space="preserve">"Platform" means Kainam’s hosted software and services.</w:t>
      </w:r>
    </w:p>
    <w:p>
      <w:pPr>
        <w:spacing w:after="120" w:line="300" w:lineRule="atLeast"/>
      </w:pPr>
      <w:r>
        <w:t xml:space="preserve">"End Customer" means any third party to whom Partner resells, sublicenses, or provides access to the Platform under this Agreement.</w:t>
      </w:r>
    </w:p>
    <w:p>
      <w:pPr>
        <w:spacing w:after="120" w:line="300" w:lineRule="atLeast"/>
      </w:pPr>
      <w:r>
        <w:t xml:space="preserve">"End Customer Data" means all data uploaded to the Platform by, on behalf of, or generated for an End Customer.</w:t>
      </w:r>
    </w:p>
    <w:p>
      <w:pPr>
        <w:spacing w:after="120" w:line="300" w:lineRule="atLeast"/>
      </w:pPr>
      <w:r>
        <w:t xml:space="preserve">"End Customer Agreement" or "EUA" means the written agreement between Partner and an End Customer governing the End Customer’s use of the Platform, which must satisfy the requirements set forth in this Agreement.</w:t>
      </w:r>
    </w:p>
    <w:p>
      <w:pPr>
        <w:spacing w:after="120" w:line="300" w:lineRule="atLeast"/>
      </w:pPr>
      <w:r>
        <w:t xml:space="preserve">"List Price" means Kainam’s then-current published price for the Platform and any related modules or services.</w:t>
      </w:r>
    </w:p>
    <w:p>
      <w:pPr>
        <w:spacing w:after="120" w:line="300" w:lineRule="atLeast"/>
      </w:pPr>
      <w:r>
        <w:t xml:space="preserve">"Wholesale Price" means the price payable by Partner to Kainam, calculated as the List Price less the Wholesale Discount set forth in the Pricing Schedule.</w:t>
      </w:r>
    </w:p>
    <w:p>
      <w:pPr>
        <w:spacing w:after="120" w:line="300" w:lineRule="atLeast"/>
      </w:pPr>
      <w:r>
        <w:t xml:space="preserve">"Consumption Fees" means usage-based charges that reflect the volume or frequency of service consumption, such as API calls, data processed, or active users.</w:t>
      </w:r>
    </w:p>
    <w:p>
      <w:pPr>
        <w:spacing w:after="120" w:line="300" w:lineRule="atLeast"/>
      </w:pPr>
      <w:r>
        <w:t xml:space="preserve">"Territory" means worldwide, except where prohibited by applicable law or U.S. export controls, unless a more limited Territory is specified in an Order Form.</w:t>
      </w:r>
    </w:p>
    <w:p>
      <w:pPr>
        <w:pStyle w:val="Heading1"/>
        <w:spacing w:after="160" w:before="320"/>
      </w:pPr>
      <w:r>
        <w:rPr>
          <w:rFonts w:ascii="Arial" w:cs="Arial" w:eastAsia="Arial" w:hAnsi="Arial"/>
          <w:b/>
          <w:bCs/>
          <w:color w:val="1F4E79"/>
          <w:sz w:val="28"/>
          <w:szCs w:val="28"/>
        </w:rPr>
        <w:t xml:space="preserve">License and Resale Rights</w:t>
      </w:r>
    </w:p>
    <w:p>
      <w:pPr>
        <w:spacing w:after="120" w:line="300" w:lineRule="atLeast"/>
      </w:pPr>
      <w:r>
        <w:t xml:space="preserve">Subject to the terms of this Agreement and Partner’s payment of all applicable fees, Kainam grants Partner a non-exclusive, non-transferable, non-sublicensable (except as expressly permitted below) right during the term to:</w:t>
      </w:r>
    </w:p>
    <w:p>
      <w:pPr>
        <w:pStyle w:val="ListParagraph"/>
        <w:numPr>
          <w:ilvl w:val="0"/>
          <w:numId w:val="2"/>
        </w:numPr>
        <w:spacing w:after="100" w:line="300" w:lineRule="atLeast"/>
      </w:pPr>
      <w:r>
        <w:t xml:space="preserve">Market, promote, and resell access to the Platform to End Customers within the Territory;</w:t>
      </w:r>
    </w:p>
    <w:p>
      <w:pPr>
        <w:pStyle w:val="ListParagraph"/>
        <w:numPr>
          <w:ilvl w:val="0"/>
          <w:numId w:val="2"/>
        </w:numPr>
        <w:spacing w:after="100" w:line="300" w:lineRule="atLeast"/>
      </w:pPr>
      <w:r>
        <w:t xml:space="preserve">Sublicense use of the Platform to End Customers solely through an End Customer Agreement that complies with this Agreement; and</w:t>
      </w:r>
    </w:p>
    <w:p>
      <w:pPr>
        <w:pStyle w:val="ListParagraph"/>
        <w:numPr>
          <w:ilvl w:val="0"/>
          <w:numId w:val="2"/>
        </w:numPr>
        <w:spacing w:after="100" w:line="300" w:lineRule="atLeast"/>
      </w:pPr>
      <w:r>
        <w:t xml:space="preserve">Use a reasonable number of internal Platform instances solely for the purposes of demonstration, training, sales support, and providing Tier 1 and Tier 2 support to End Customers.</w:t>
      </w:r>
    </w:p>
    <w:p>
      <w:r>
        <w:t xml:space="preserve"/>
      </w:r>
    </w:p>
    <w:p>
      <w:pPr>
        <w:spacing w:after="120" w:line="300" w:lineRule="atLeast"/>
      </w:pPr>
      <w:r>
        <w:rPr>
          <w:b/>
          <w:bCs/>
        </w:rPr>
        <w:t xml:space="preserve">Restrictions. </w:t>
      </w:r>
      <w:r>
        <w:t xml:space="preserve">Partner will not, and will not permit any End Customer or third party to: (a) modify, translate, reverse engineer, decompile, or disassemble the Platform, except to the extent expressly permitted by applicable law; (b) create derivative works based on the Platform; (c) remove, alter, or obscure any proprietary notices on the Platform; (d) use the Platform to develop or operate a competing product or service; (e) transfer, sublicense, lease, lend, or rent the Platform other than as expressly permitted under this Agreement; or (f) use the Platform in violation of applicable law or third-party rights.</w:t>
      </w:r>
    </w:p>
    <w:p>
      <w:r>
        <w:t xml:space="preserve"/>
      </w:r>
    </w:p>
    <w:p>
      <w:pPr>
        <w:spacing w:after="120" w:line="300" w:lineRule="atLeast"/>
      </w:pPr>
      <w:r>
        <w:rPr>
          <w:b/>
          <w:bCs/>
        </w:rPr>
        <w:t xml:space="preserve">Reservation of Rights. </w:t>
      </w:r>
      <w:r>
        <w:t xml:space="preserve">All rights not expressly granted to Partner are reserved by Kainam. Nothing in this Agreement transfers ownership of the Platform or any related intellectual property to Partner.</w:t>
      </w:r>
    </w:p>
    <w:p>
      <w:pPr>
        <w:pStyle w:val="Heading1"/>
        <w:spacing w:after="160" w:before="320"/>
      </w:pPr>
      <w:r>
        <w:rPr>
          <w:rFonts w:ascii="Arial" w:cs="Arial" w:eastAsia="Arial" w:hAnsi="Arial"/>
          <w:b/>
          <w:bCs/>
          <w:color w:val="1F4E79"/>
          <w:sz w:val="28"/>
          <w:szCs w:val="28"/>
        </w:rPr>
        <w:t xml:space="preserve">End Customer Agreements</w:t>
      </w:r>
    </w:p>
    <w:p>
      <w:pPr>
        <w:spacing w:after="120" w:line="300" w:lineRule="atLeast"/>
      </w:pPr>
      <w:r>
        <w:t xml:space="preserve">Partner is solely responsible for entering into a written End Customer Agreement with each End Customer prior to providing such End Customer with access to the Platform. Each End Customer Agreement must, at a minimum:</w:t>
      </w:r>
    </w:p>
    <w:p>
      <w:pPr>
        <w:pStyle w:val="ListParagraph"/>
        <w:numPr>
          <w:ilvl w:val="0"/>
          <w:numId w:val="2"/>
        </w:numPr>
        <w:spacing w:after="100" w:line="300" w:lineRule="atLeast"/>
      </w:pPr>
      <w:r>
        <w:t xml:space="preserve">Grant the End Customer no greater rights to the Platform than those granted to Partner under this Agreement;</w:t>
      </w:r>
    </w:p>
    <w:p>
      <w:pPr>
        <w:pStyle w:val="ListParagraph"/>
        <w:numPr>
          <w:ilvl w:val="0"/>
          <w:numId w:val="2"/>
        </w:numPr>
        <w:spacing w:after="100" w:line="300" w:lineRule="atLeast"/>
      </w:pPr>
      <w:r>
        <w:t xml:space="preserve">Disclaim warranties and limit Kainam’s liability to the End Customer to the same or greater extent as set forth in this Agreement, and name Kainam as a third-party beneficiary of those provisions;</w:t>
      </w:r>
    </w:p>
    <w:p>
      <w:pPr>
        <w:pStyle w:val="ListParagraph"/>
        <w:numPr>
          <w:ilvl w:val="0"/>
          <w:numId w:val="2"/>
        </w:numPr>
        <w:spacing w:after="100" w:line="300" w:lineRule="atLeast"/>
      </w:pPr>
      <w:r>
        <w:t xml:space="preserve">Prohibit reverse engineering, modification, derivative works, and any use of the Platform to develop a competing product or service;</w:t>
      </w:r>
    </w:p>
    <w:p>
      <w:pPr>
        <w:pStyle w:val="ListParagraph"/>
        <w:numPr>
          <w:ilvl w:val="0"/>
          <w:numId w:val="2"/>
        </w:numPr>
        <w:spacing w:after="100" w:line="300" w:lineRule="atLeast"/>
      </w:pPr>
      <w:r>
        <w:t xml:space="preserve">Require the End Customer to comply with all applicable laws, including export control, data protection, and anti-discrimination laws;</w:t>
      </w:r>
    </w:p>
    <w:p>
      <w:pPr>
        <w:pStyle w:val="ListParagraph"/>
        <w:numPr>
          <w:ilvl w:val="0"/>
          <w:numId w:val="2"/>
        </w:numPr>
        <w:spacing w:after="100" w:line="300" w:lineRule="atLeast"/>
      </w:pPr>
      <w:r>
        <w:t xml:space="preserve">Acknowledge that the Platform incorporates AI/ML technologies and that AI-generated outputs may not be error-free, requiring End Customer review of critical outputs;</w:t>
      </w:r>
    </w:p>
    <w:p>
      <w:pPr>
        <w:pStyle w:val="ListParagraph"/>
        <w:numPr>
          <w:ilvl w:val="0"/>
          <w:numId w:val="2"/>
        </w:numPr>
        <w:spacing w:after="100" w:line="300" w:lineRule="atLeast"/>
      </w:pPr>
      <w:r>
        <w:t xml:space="preserve">Permit Partner (and Kainam, as applicable) to suspend or terminate the End Customer’s access in the event of material breach, non-payment, or activity that threatens the security or integrity of the Platform; and</w:t>
      </w:r>
    </w:p>
    <w:p>
      <w:pPr>
        <w:pStyle w:val="ListParagraph"/>
        <w:numPr>
          <w:ilvl w:val="0"/>
          <w:numId w:val="2"/>
        </w:numPr>
        <w:spacing w:after="100" w:line="300" w:lineRule="atLeast"/>
      </w:pPr>
      <w:r>
        <w:t xml:space="preserve">Include data protection terms sufficient to permit lawful processing of End Customer Data, including a data processing agreement where required by applicable law.</w:t>
      </w:r>
    </w:p>
    <w:p>
      <w:r>
        <w:t xml:space="preserve"/>
      </w:r>
    </w:p>
    <w:p>
      <w:pPr>
        <w:spacing w:after="120" w:line="300" w:lineRule="atLeast"/>
      </w:pPr>
      <w:r>
        <w:t xml:space="preserve">Upon Kainam’s reasonable request, Partner will provide a redacted form of its End Customer Agreement for verification of compliance with this section. Kainam may, from time to time, provide Partner with a recommended End Customer Agreement template; Partner is not required to use the template, but its End Customer Agreements must satisfy the minimum requirements above.</w:t>
      </w:r>
    </w:p>
    <w:p>
      <w:r>
        <w:t xml:space="preserve"/>
      </w:r>
    </w:p>
    <w:p>
      <w:pPr>
        <w:spacing w:after="120" w:line="300" w:lineRule="atLeast"/>
      </w:pPr>
      <w:r>
        <w:rPr>
          <w:b/>
          <w:bCs/>
        </w:rPr>
        <w:t xml:space="preserve">Pass-Through of AUP. </w:t>
      </w:r>
      <w:r>
        <w:t xml:space="preserve">Partner will require each End Customer to comply with Kainam’s Acceptable Use Policy, available at https://kainam.ai/aup and as updated from time to time, including by incorporating its requirements into each End Customer Agreement (or by reference where permitted by applicable law). Partner is also directly bound by the Acceptable Use Policy with respect to its own use of the Platform. Partner will promptly notify Kainam of any End Customer breach of the Acceptable Use Policy that materially affects the security, availability, or integrity of the Platform.</w:t>
      </w:r>
    </w:p>
    <w:p>
      <w:pPr>
        <w:pStyle w:val="Heading1"/>
        <w:spacing w:after="160" w:before="320"/>
      </w:pPr>
      <w:r>
        <w:rPr>
          <w:rFonts w:ascii="Arial" w:cs="Arial" w:eastAsia="Arial" w:hAnsi="Arial"/>
          <w:b/>
          <w:bCs/>
          <w:color w:val="1F4E79"/>
          <w:sz w:val="28"/>
          <w:szCs w:val="28"/>
        </w:rPr>
        <w:t xml:space="preserve">Artificial Intelligence Functionality</w:t>
      </w:r>
    </w:p>
    <w:p>
      <w:pPr>
        <w:spacing w:after="120" w:line="300" w:lineRule="atLeast"/>
      </w:pPr>
      <w:r>
        <w:t xml:space="preserve">The Platform incorporates artificial intelligence ("AI") and machine learning ("ML") technologies to provide certain features and functionalities.</w:t>
      </w:r>
    </w:p>
    <w:p>
      <w:pPr>
        <w:pStyle w:val="ListParagraph"/>
        <w:numPr>
          <w:ilvl w:val="0"/>
          <w:numId w:val="2"/>
        </w:numPr>
        <w:spacing w:after="100" w:line="300" w:lineRule="atLeast"/>
      </w:pPr>
      <w:r>
        <w:t xml:space="preserve">Kainam will disclose, upon request, the nature of AI features and the extent to which automated decision-making is involved.</w:t>
      </w:r>
    </w:p>
    <w:p>
      <w:pPr>
        <w:pStyle w:val="ListParagraph"/>
        <w:numPr>
          <w:ilvl w:val="0"/>
          <w:numId w:val="2"/>
        </w:numPr>
        <w:spacing w:after="100" w:line="300" w:lineRule="atLeast"/>
      </w:pPr>
      <w:r>
        <w:t xml:space="preserve">Kainam will not use End Customer Data to train AI models that are made available to third parties without the applicable End Customer’s prior written consent (which Partner is responsible for obtaining where required). Kainam may, however, use de-identified, aggregated, or anonymized data derived from Platform usage to operate, maintain, secure, analyze, and improve the Platform and its underlying models, provided such data does not identify the End Customer or any individual and cannot reasonably be used to do so. Any model improvements derived from such use are the property of Kainam.</w:t>
      </w:r>
    </w:p>
    <w:p>
      <w:pPr>
        <w:pStyle w:val="ListParagraph"/>
        <w:numPr>
          <w:ilvl w:val="0"/>
          <w:numId w:val="2"/>
        </w:numPr>
        <w:spacing w:after="100" w:line="300" w:lineRule="atLeast"/>
      </w:pPr>
      <w:r>
        <w:t xml:space="preserve">Kainam will comply with all applicable laws and regulations governing the use of AI, including data protection, privacy, and anti-discrimination laws.</w:t>
      </w:r>
    </w:p>
    <w:p>
      <w:pPr>
        <w:pStyle w:val="ListParagraph"/>
        <w:numPr>
          <w:ilvl w:val="0"/>
          <w:numId w:val="2"/>
        </w:numPr>
        <w:spacing w:after="100" w:line="300" w:lineRule="atLeast"/>
      </w:pPr>
      <w:r>
        <w:t xml:space="preserve">Partner will require each End Customer to acknowledge that AI-generated outputs may not be error-free and to review and validate critical outputs before relying on them for business decisions.</w:t>
      </w:r>
    </w:p>
    <w:p>
      <w:pPr>
        <w:pStyle w:val="ListParagraph"/>
        <w:numPr>
          <w:ilvl w:val="0"/>
          <w:numId w:val="2"/>
        </w:numPr>
        <w:spacing w:after="100" w:line="300" w:lineRule="atLeast"/>
      </w:pPr>
      <w:r>
        <w:t xml:space="preserve">Partner will not, and will require End Customers not to, use the Platform’s AI features for any unlawful, harmful, or discriminatory purpose.</w:t>
      </w:r>
    </w:p>
    <w:p>
      <w:pPr>
        <w:pStyle w:val="Heading1"/>
        <w:spacing w:after="160" w:before="320"/>
      </w:pPr>
      <w:r>
        <w:rPr>
          <w:rFonts w:ascii="Arial" w:cs="Arial" w:eastAsia="Arial" w:hAnsi="Arial"/>
          <w:b/>
          <w:bCs/>
          <w:color w:val="1F4E79"/>
          <w:sz w:val="28"/>
          <w:szCs w:val="28"/>
        </w:rPr>
        <w:t xml:space="preserve">Pricing and Wholesale Discount</w:t>
      </w:r>
    </w:p>
    <w:p>
      <w:pPr>
        <w:spacing w:after="120" w:line="300" w:lineRule="atLeast"/>
      </w:pPr>
      <w:r>
        <w:rPr>
          <w:b/>
          <w:bCs/>
        </w:rPr>
        <w:t xml:space="preserve">Wholesale Pricing Model. </w:t>
      </w:r>
      <w:r>
        <w:t xml:space="preserve">Partner purchases the Platform from Kainam at the Wholesale Price, calculated as the List Price less the Wholesale Discount specified in the Pricing Schedule attached as Exhibit A or in an applicable Order Form. Partner is solely responsible for setting its own end-customer pricing and assumes full credit risk for collection from End Customers.</w:t>
      </w:r>
    </w:p>
    <w:p>
      <w:r>
        <w:t xml:space="preserve"/>
      </w:r>
    </w:p>
    <w:p>
      <w:pPr>
        <w:spacing w:after="120" w:line="300" w:lineRule="atLeast"/>
      </w:pPr>
      <w:r>
        <w:rPr>
          <w:b/>
          <w:bCs/>
        </w:rPr>
        <w:t xml:space="preserve">List Price Changes. </w:t>
      </w:r>
      <w:r>
        <w:t xml:space="preserve">Kainam may update its List Price upon at least sixty (60) days’ prior written notice to Partner. List Price changes will not affect Order Forms already executed for the then-current term but will apply to renewals and new Order Forms.</w:t>
      </w:r>
    </w:p>
    <w:p>
      <w:r>
        <w:t xml:space="preserve"/>
      </w:r>
    </w:p>
    <w:p>
      <w:pPr>
        <w:spacing w:after="120" w:line="300" w:lineRule="atLeast"/>
      </w:pPr>
      <w:r>
        <w:rPr>
          <w:b/>
          <w:bCs/>
        </w:rPr>
        <w:t xml:space="preserve">Order Forms. </w:t>
      </w:r>
      <w:r>
        <w:t xml:space="preserve">Each sale of the Platform to an End Customer will be documented by an Order Form referencing this Agreement and identifying the End Customer, the modules and quantities purchased, the deployment model (Kainam-hosted or Partner/End Customer private cloud), the term, and the applicable fees.</w:t>
      </w:r>
    </w:p>
    <w:p>
      <w:r>
        <w:t xml:space="preserve"/>
      </w:r>
    </w:p>
    <w:p>
      <w:pPr>
        <w:spacing w:after="120" w:line="300" w:lineRule="atLeast"/>
      </w:pPr>
      <w:r>
        <w:rPr>
          <w:b/>
          <w:bCs/>
        </w:rPr>
        <w:t xml:space="preserve">Consumption Fees — Hosted Deployments. </w:t>
      </w:r>
      <w:r>
        <w:t xml:space="preserve">For Kainam-hosted deployments, Kainam will invoice Partner for Consumption Fees on a quarterly basis at Kainam’s then-current consumption rates, plus a $100 per quarter processing and handling fee. Partner is responsible for billing the End Customer for consumption usage and may, in its sole discretion, mark up consumption charges to End Customers.</w:t>
      </w:r>
    </w:p>
    <w:p>
      <w:r>
        <w:t xml:space="preserve"/>
      </w:r>
    </w:p>
    <w:p>
      <w:pPr>
        <w:spacing w:after="120" w:line="300" w:lineRule="atLeast"/>
      </w:pPr>
      <w:r>
        <w:rPr>
          <w:b/>
          <w:bCs/>
        </w:rPr>
        <w:t xml:space="preserve">Consumption Fees — Private Cloud Deployments. </w:t>
      </w:r>
      <w:r>
        <w:t xml:space="preserve">For deployments in Partner’s or an End Customer’s private cloud, the Partner or End Customer is directly responsible for all underlying infrastructure and consumption costs incurred with the applicable cloud provider, and Kainam will not invoice consumption charges.</w:t>
      </w:r>
    </w:p>
    <w:p>
      <w:r>
        <w:t xml:space="preserve"/>
      </w:r>
    </w:p>
    <w:p>
      <w:pPr>
        <w:spacing w:after="120" w:line="300" w:lineRule="atLeast"/>
      </w:pPr>
      <w:r>
        <w:rPr>
          <w:b/>
          <w:bCs/>
        </w:rPr>
        <w:t xml:space="preserve">No End Customer Privity for Fees. </w:t>
      </w:r>
      <w:r>
        <w:t xml:space="preserve">Kainam invoices and looks solely to Partner for payment of all amounts under this Agreement. Partner’s obligation to pay Kainam is independent of, and not conditioned upon, payment by any End Customer.</w:t>
      </w:r>
    </w:p>
    <w:p>
      <w:pPr>
        <w:pStyle w:val="Heading1"/>
        <w:spacing w:after="160" w:before="320"/>
      </w:pPr>
      <w:r>
        <w:rPr>
          <w:rFonts w:ascii="Arial" w:cs="Arial" w:eastAsia="Arial" w:hAnsi="Arial"/>
          <w:b/>
          <w:bCs/>
          <w:color w:val="1F4E79"/>
          <w:sz w:val="28"/>
          <w:szCs w:val="28"/>
        </w:rPr>
        <w:t xml:space="preserve">Payment Terms</w:t>
      </w:r>
    </w:p>
    <w:p>
      <w:pPr>
        <w:spacing w:after="120" w:line="300" w:lineRule="atLeast"/>
      </w:pPr>
      <w:r>
        <w:t xml:space="preserve">All payments are due within thirty (30) days of the invoice date.</w:t>
      </w:r>
    </w:p>
    <w:p>
      <w:pPr>
        <w:pStyle w:val="ListParagraph"/>
        <w:numPr>
          <w:ilvl w:val="0"/>
          <w:numId w:val="2"/>
        </w:numPr>
        <w:spacing w:after="100" w:line="300" w:lineRule="atLeast"/>
      </w:pPr>
      <w:r>
        <w:t xml:space="preserve">If any payment is not received by the due date, Kainam may charge interest on the overdue amount at a rate of one and one-half percent (1.5%) per month (or the maximum rate permitted by law, if lower), calculated from the due date until payment is received.</w:t>
      </w:r>
    </w:p>
    <w:p>
      <w:pPr>
        <w:pStyle w:val="ListParagraph"/>
        <w:numPr>
          <w:ilvl w:val="0"/>
          <w:numId w:val="2"/>
        </w:numPr>
        <w:spacing w:after="100" w:line="300" w:lineRule="atLeast"/>
      </w:pPr>
      <w:r>
        <w:t xml:space="preserve">If any undisputed amount remains unpaid more than thirty (30) days past its due date, Kainam may, upon ten (10) days’ prior written notice and a failure to cure within that period, suspend Partner’s ability to provision new End Customers and, after an additional thirty (30) days, suspend Partner’s and End Customers’ access to the Platform until all outstanding amounts are paid in full.</w:t>
      </w:r>
    </w:p>
    <w:p>
      <w:pPr>
        <w:pStyle w:val="ListParagraph"/>
        <w:numPr>
          <w:ilvl w:val="0"/>
          <w:numId w:val="2"/>
        </w:numPr>
        <w:spacing w:after="100" w:line="300" w:lineRule="atLeast"/>
      </w:pPr>
      <w:r>
        <w:t xml:space="preserve">Partner shall reimburse Kainam for all reasonable costs incurred in collecting overdue payments, including legal fees.</w:t>
      </w:r>
    </w:p>
    <w:p>
      <w:r>
        <w:t xml:space="preserve"/>
      </w:r>
    </w:p>
    <w:p>
      <w:pPr>
        <w:spacing w:after="120" w:line="300" w:lineRule="atLeast"/>
      </w:pPr>
      <w:r>
        <w:t xml:space="preserve">Payment is by wire transfer and Partner pays all transfer fees. Wire transfer instructions will be provided on each invoice issued to Partner. Please include your company name and invoice number as the payment reference. To verify the authenticity of any wire instructions, contact Kainam Accounts Receivable at AR@Kainam.ai using contact information from a prior verified communication or from https://kainam.ai. Kainam will never request payment to a new or changed account without separate written confirmation from an authorized Kainam representative.</w:t>
      </w:r>
    </w:p>
    <w:p>
      <w:pPr>
        <w:pStyle w:val="Heading1"/>
        <w:spacing w:after="160" w:before="320"/>
      </w:pPr>
      <w:r>
        <w:rPr>
          <w:rFonts w:ascii="Arial" w:cs="Arial" w:eastAsia="Arial" w:hAnsi="Arial"/>
          <w:b/>
          <w:bCs/>
          <w:color w:val="1F4E79"/>
          <w:sz w:val="28"/>
          <w:szCs w:val="28"/>
        </w:rPr>
        <w:t xml:space="preserve">Services and Support</w:t>
      </w:r>
    </w:p>
    <w:p>
      <w:pPr>
        <w:spacing w:after="120" w:line="300" w:lineRule="atLeast"/>
      </w:pPr>
      <w:r>
        <w:t xml:space="preserve">Kainam will provide the Platform via the internet (for Kainam-hosted deployments) or via deployment packages (for Partner or End Customer private cloud deployments). Kainam will use commercially reasonable efforts to maintain 99% uptime for the Kainam-hosted Platform, excluding scheduled maintenance and events beyond its control.</w:t>
      </w:r>
    </w:p>
    <w:p>
      <w:r>
        <w:t xml:space="preserve"/>
      </w:r>
    </w:p>
    <w:p>
      <w:pPr>
        <w:spacing w:after="120" w:line="300" w:lineRule="atLeast"/>
      </w:pPr>
      <w:r>
        <w:rPr>
          <w:b/>
          <w:bCs/>
        </w:rPr>
        <w:t xml:space="preserve">Tiered Support Model. </w:t>
      </w:r>
      <w:r>
        <w:t xml:space="preserve">Partner is responsible for providing Tier 1 and Tier 2 support to End Customers. Kainam is responsible for providing Tier 3 (back-end) support to Partner only. Partner will not direct End Customers to contact Kainam for support, and Kainam is under no obligation to provide support directly to any End Customer.</w:t>
      </w:r>
    </w:p>
    <w:p>
      <w:r>
        <w:t xml:space="preserve"/>
      </w:r>
    </w:p>
    <w:p>
      <w:pPr>
        <w:spacing w:after="120" w:line="300" w:lineRule="atLeast"/>
      </w:pPr>
      <w:r>
        <w:t xml:space="preserve">For purposes of this Agreement:</w:t>
      </w:r>
    </w:p>
    <w:p>
      <w:pPr>
        <w:pStyle w:val="ListParagraph"/>
        <w:numPr>
          <w:ilvl w:val="0"/>
          <w:numId w:val="2"/>
        </w:numPr>
        <w:spacing w:after="100" w:line="300" w:lineRule="atLeast"/>
      </w:pPr>
      <w:r>
        <w:t xml:space="preserve">Tier 1 (Partner) covers initial customer contact, basic troubleshooting, account and login assistance, configuration questions, and triage.</w:t>
      </w:r>
    </w:p>
    <w:p>
      <w:pPr>
        <w:pStyle w:val="ListParagraph"/>
        <w:numPr>
          <w:ilvl w:val="0"/>
          <w:numId w:val="2"/>
        </w:numPr>
        <w:spacing w:after="100" w:line="300" w:lineRule="atLeast"/>
      </w:pPr>
      <w:r>
        <w:t xml:space="preserve">Tier 2 (Partner) covers advanced troubleshooting, workflow and integration issues, and reproducing issues in test environments.</w:t>
      </w:r>
    </w:p>
    <w:p>
      <w:pPr>
        <w:pStyle w:val="ListParagraph"/>
        <w:numPr>
          <w:ilvl w:val="0"/>
          <w:numId w:val="2"/>
        </w:numPr>
        <w:spacing w:after="100" w:line="300" w:lineRule="atLeast"/>
      </w:pPr>
      <w:r>
        <w:t xml:space="preserve">Tier 3 (Kainam) covers Platform defects, infrastructure issues, security investigations, and items requiring access to Platform source code or production systems.</w:t>
      </w:r>
    </w:p>
    <w:p>
      <w:r>
        <w:t xml:space="preserve"/>
      </w:r>
    </w:p>
    <w:p>
      <w:pPr>
        <w:spacing w:after="120" w:line="300" w:lineRule="atLeast"/>
      </w:pPr>
      <w:r>
        <w:t xml:space="preserve">Partner will log Tier 3 escalations via Kainam’s Jira ticketing system. Kainam will provide updates and resolutions through that system. Both Parties will respond to tickets in accordance with mutually agreed service levels. Partner will be assigned support credentials for designated technical personnel.</w:t>
      </w:r>
    </w:p>
    <w:p>
      <w:r>
        <w:t xml:space="preserve"/>
      </w:r>
    </w:p>
    <w:p>
      <w:pPr>
        <w:spacing w:after="120" w:line="300" w:lineRule="atLeast"/>
      </w:pPr>
      <w:r>
        <w:rPr>
          <w:b/>
          <w:bCs/>
        </w:rPr>
        <w:t xml:space="preserve">Partner Enablement. </w:t>
      </w:r>
      <w:r>
        <w:t xml:space="preserve">Kainam will provide reasonable training, documentation, and enablement materials to support Partner’s sales and support obligations. Partner will ensure its personnel completing customer-facing or support roles complete any required Kainam training prior to performing those roles.</w:t>
      </w:r>
    </w:p>
    <w:p>
      <w:r>
        <w:t xml:space="preserve"/>
      </w:r>
    </w:p>
    <w:p>
      <w:pPr>
        <w:spacing w:after="120" w:line="300" w:lineRule="atLeast"/>
      </w:pPr>
      <w:r>
        <w:rPr>
          <w:b/>
          <w:bCs/>
        </w:rPr>
        <w:t xml:space="preserve">Authorized Use. </w:t>
      </w:r>
      <w:r>
        <w:t xml:space="preserve">Partner and End Customers may use the Platform solely for End Customers’ internal business purposes (or, for End Customers that themselves resell or provide services to others, in accordance with the End Customer Agreement and not in violation of this Agreement). Use of the Platform for unlawful, harmful, or offensive activities is strictly prohibited.</w:t>
      </w:r>
    </w:p>
    <w:p>
      <w:pPr>
        <w:pStyle w:val="Heading1"/>
        <w:spacing w:after="160" w:before="320"/>
      </w:pPr>
      <w:r>
        <w:rPr>
          <w:rFonts w:ascii="Arial" w:cs="Arial" w:eastAsia="Arial" w:hAnsi="Arial"/>
          <w:b/>
          <w:bCs/>
          <w:color w:val="1F4E79"/>
          <w:sz w:val="28"/>
          <w:szCs w:val="28"/>
        </w:rPr>
        <w:t xml:space="preserve">Data Ownership, Security and Privacy</w:t>
      </w:r>
    </w:p>
    <w:p>
      <w:pPr>
        <w:spacing w:after="120" w:line="300" w:lineRule="atLeast"/>
      </w:pPr>
      <w:r>
        <w:t xml:space="preserve">As between Kainam and Partner, the applicable End Customer owns all End Customer Data. Partner does not acquire ownership of End Customer Data through this Agreement. Kainam will process End Customer Data solely as necessary to provide the Platform and as instructed by Partner or the End Customer through use of the Platform.</w:t>
      </w:r>
    </w:p>
    <w:p>
      <w:r>
        <w:t xml:space="preserve"/>
      </w:r>
    </w:p>
    <w:p>
      <w:pPr>
        <w:spacing w:after="120" w:line="300" w:lineRule="atLeast"/>
      </w:pPr>
      <w:r>
        <w:t xml:space="preserve">Upon request or termination of an End Customer’s subscription, the applicable End Customer (through Partner) may export End Customer Data in a standard format; Kainam will assist for up to thirty (30) days after termination of the End Customer’s subscription. Following the expiration of the export period, Kainam will delete or anonymize End Customer Data from its production systems within sixty (60) days, except to the extent retention is required by applicable law or for backup, archival, or audit purposes (in which case the data will remain subject to the confidentiality and security obligations of this Agreement until deleted in the ordinary course). Upon written request, Kainam will provide written confirmation of deletion.</w:t>
      </w:r>
    </w:p>
    <w:p>
      <w:r>
        <w:t xml:space="preserve"/>
      </w:r>
    </w:p>
    <w:p>
      <w:pPr>
        <w:spacing w:after="120" w:line="300" w:lineRule="atLeast"/>
      </w:pPr>
      <w:r>
        <w:t xml:space="preserve">Kainam will comply with applicable data protection laws (including GDPR and HIPAA, where relevant). For private cloud deployments, the Partner or End Customer is responsible for daily backups. Kainam is not liable for data loss due to End Customer or Partner misuse, third-party outages outside Kainam’s reasonable control, or viruses or malicious code introduced through Partner or End Customer systems or End Customer Data.</w:t>
      </w:r>
    </w:p>
    <w:p>
      <w:r>
        <w:t xml:space="preserve"/>
      </w:r>
    </w:p>
    <w:p>
      <w:pPr>
        <w:pStyle w:val="ListParagraph"/>
        <w:numPr>
          <w:ilvl w:val="0"/>
          <w:numId w:val="2"/>
        </w:numPr>
        <w:spacing w:after="100" w:line="300" w:lineRule="atLeast"/>
      </w:pPr>
      <w:r>
        <w:t xml:space="preserve">Kainam will implement appropriate technical and organizational measures to safeguard End Customer Data against unauthorized access, loss, or disclosure.</w:t>
      </w:r>
    </w:p>
    <w:p>
      <w:pPr>
        <w:pStyle w:val="ListParagraph"/>
        <w:numPr>
          <w:ilvl w:val="0"/>
          <w:numId w:val="2"/>
        </w:numPr>
        <w:spacing w:after="100" w:line="300" w:lineRule="atLeast"/>
      </w:pPr>
      <w:r>
        <w:t xml:space="preserve">In the event of a data breach affecting End Customer Data, Kainam will notify Partner without undue delay and cooperate fully in any required investigation or remediation. Partner is responsible for notifying affected End Customers and any regulatory authorities as required by applicable law.</w:t>
      </w:r>
    </w:p>
    <w:p>
      <w:pPr>
        <w:pStyle w:val="ListParagraph"/>
        <w:numPr>
          <w:ilvl w:val="0"/>
          <w:numId w:val="2"/>
        </w:numPr>
        <w:spacing w:after="100" w:line="300" w:lineRule="atLeast"/>
      </w:pPr>
      <w:r>
        <w:t xml:space="preserve">Upon request, Kainam will enter into a Data Processing Agreement (DPA) with Partner detailing roles, responsibilities, and compliance mechanisms. Where required by applicable law, the DPA may need to extend to End Customers as data controllers; Partner is responsible for ensuring its End Customer Agreements include appropriate data processing terms.</w:t>
      </w:r>
    </w:p>
    <w:p>
      <w:pPr>
        <w:pStyle w:val="ListParagraph"/>
        <w:numPr>
          <w:ilvl w:val="0"/>
          <w:numId w:val="2"/>
        </w:numPr>
        <w:spacing w:after="100" w:line="300" w:lineRule="atLeast"/>
      </w:pPr>
      <w:r>
        <w:t xml:space="preserve">Kainam will not transfer End Customer Data outside the jurisdiction specified by the Partner or End Customer without prior written consent, except as required by law.</w:t>
      </w:r>
    </w:p>
    <w:p>
      <w:pPr>
        <w:pStyle w:val="ListParagraph"/>
        <w:numPr>
          <w:ilvl w:val="0"/>
          <w:numId w:val="2"/>
        </w:numPr>
        <w:spacing w:after="100" w:line="300" w:lineRule="atLeast"/>
      </w:pPr>
      <w:r>
        <w:t xml:space="preserve">Kainam will assist Partner in responding to data subject requests and regulatory inquiries related to the Platform.</w:t>
      </w:r>
    </w:p>
    <w:p>
      <w:pPr>
        <w:pStyle w:val="Heading1"/>
        <w:spacing w:after="160" w:before="320"/>
      </w:pPr>
      <w:r>
        <w:rPr>
          <w:rFonts w:ascii="Arial" w:cs="Arial" w:eastAsia="Arial" w:hAnsi="Arial"/>
          <w:b/>
          <w:bCs/>
          <w:color w:val="1F4E79"/>
          <w:sz w:val="28"/>
          <w:szCs w:val="28"/>
        </w:rPr>
        <w:t xml:space="preserve">Intellectual Property</w:t>
      </w:r>
    </w:p>
    <w:p>
      <w:pPr>
        <w:spacing w:after="120" w:line="300" w:lineRule="atLeast"/>
      </w:pPr>
      <w:r>
        <w:t xml:space="preserve">Kainam retains all rights, title, and interest in and to the Platform and all related intellectual property, including any improvements, modifications, enhancements, and derivative works thereof, regardless of who develops them. Partner receives only the limited rights expressly granted in this Agreement. No rights to Kainam’s source code, trademarks, or trade secrets are transferred to Partner. Any feedback, suggestions, or ideas Partner or its End Customers provide regarding the Platform may be used by Kainam without restriction or compensation.</w:t>
      </w:r>
    </w:p>
    <w:p>
      <w:pPr>
        <w:pStyle w:val="Heading1"/>
        <w:spacing w:after="160" w:before="320"/>
      </w:pPr>
      <w:r>
        <w:rPr>
          <w:rFonts w:ascii="Arial" w:cs="Arial" w:eastAsia="Arial" w:hAnsi="Arial"/>
          <w:b/>
          <w:bCs/>
          <w:color w:val="1F4E79"/>
          <w:sz w:val="28"/>
          <w:szCs w:val="28"/>
        </w:rPr>
        <w:t xml:space="preserve">Trademark Use</w:t>
      </w:r>
    </w:p>
    <w:p>
      <w:pPr>
        <w:spacing w:after="120" w:line="300" w:lineRule="atLeast"/>
      </w:pPr>
      <w:r>
        <w:t xml:space="preserve">Kainam grants Partner a non-exclusive, non-transferable, royalty-free right during the term to use Kainam’s name and logo solely to identify the Platform in marketing and sales materials, in accordance with any brand guidelines Kainam provides from time to time. Partner will not modify Kainam’s marks or use them in a manner that disparages Kainam or implies a partnership, joint venture, or other relationship beyond that of supplier and reseller. All goodwill arising from Partner’s use of Kainam’s marks inures solely to Kainam. Partner acquires no rights in Kainam’s marks beyond the limited license in this section.</w:t>
      </w:r>
    </w:p>
    <w:p>
      <w:pPr>
        <w:pStyle w:val="Heading1"/>
        <w:spacing w:after="160" w:before="320"/>
      </w:pPr>
      <w:r>
        <w:rPr>
          <w:rFonts w:ascii="Arial" w:cs="Arial" w:eastAsia="Arial" w:hAnsi="Arial"/>
          <w:b/>
          <w:bCs/>
          <w:color w:val="1F4E79"/>
          <w:sz w:val="28"/>
          <w:szCs w:val="28"/>
        </w:rPr>
        <w:t xml:space="preserve">Term and Termination</w:t>
      </w:r>
    </w:p>
    <w:p>
      <w:pPr>
        <w:spacing w:after="120" w:line="300" w:lineRule="atLeast"/>
      </w:pPr>
      <w:r>
        <w:t xml:space="preserve">This Agreement will begin on the date it is signed by both Parties ("Effective Date") and will continue for an initial term of XX year(s) unless terminated earlier as provided below. After the initial term, this Agreement will automatically renew for additional one-year periods unless either Party provides written notice of non-renewal at least 60 days before the end of the then-current term.</w:t>
      </w:r>
    </w:p>
    <w:p>
      <w:r>
        <w:t xml:space="preserve"/>
      </w:r>
    </w:p>
    <w:p>
      <w:pPr>
        <w:spacing w:after="120" w:line="300" w:lineRule="atLeast"/>
      </w:pPr>
      <w:r>
        <w:t xml:space="preserve">Either Party may terminate this Agreement for material breach by the other Party if such breach remains uncured thirty (30) days after written notice describing the breach in reasonable detail. Either Party may also terminate immediately upon the other Party’s insolvency, bankruptcy filing, assignment for the benefit of creditors, or cessation of business. Termination for convenience is permitted only at the end of the then-current term by providing the non-renewal notice described above; neither Party may terminate for convenience during an active term.</w:t>
      </w:r>
    </w:p>
    <w:p>
      <w:r>
        <w:t xml:space="preserve"/>
      </w:r>
    </w:p>
    <w:p>
      <w:pPr>
        <w:spacing w:after="120" w:line="300" w:lineRule="atLeast"/>
      </w:pPr>
      <w:r>
        <w:rPr>
          <w:b/>
          <w:bCs/>
        </w:rPr>
        <w:t xml:space="preserve">Effect on End Customer Agreements. </w:t>
      </w:r>
      <w:r>
        <w:t xml:space="preserve">Upon termination of this Agreement, Partner’s right to enter into new End Customer Agreements ceases immediately. Active End Customer Agreements in effect on the date of termination will continue until their natural expiration, unless terminated earlier by Partner or the End Customer, provided that: (a) Partner remains in compliance with this Agreement with respect to each such End Customer Agreement; (b) Partner continues to pay all Wholesale Price and Consumption Fees as they come due; and (c) Kainam may, at its option, offer to assume the End Customer Agreement directly with the End Customer (with Partner’s reasonable cooperation) if Partner ceases to support the End Customer or fails to cure a material breach.</w:t>
      </w:r>
    </w:p>
    <w:p>
      <w:r>
        <w:t xml:space="preserve"/>
      </w:r>
    </w:p>
    <w:p>
      <w:pPr>
        <w:spacing w:after="120" w:line="300" w:lineRule="atLeast"/>
      </w:pPr>
      <w:r>
        <w:t xml:space="preserve">Upon termination, all rights and obligations end except those meant to survive (including confidentiality, payment for services already provided, intellectual property, indemnification, and limitations of liability). Kainam will provide reasonable assistance for End Customer transition for up to thirty (30) days following termination of the affected End Customer subscription.</w:t>
      </w:r>
    </w:p>
    <w:p>
      <w:pPr>
        <w:pStyle w:val="Heading1"/>
        <w:spacing w:after="160" w:before="320"/>
      </w:pPr>
      <w:r>
        <w:rPr>
          <w:rFonts w:ascii="Arial" w:cs="Arial" w:eastAsia="Arial" w:hAnsi="Arial"/>
          <w:b/>
          <w:bCs/>
          <w:color w:val="1F4E79"/>
          <w:sz w:val="28"/>
          <w:szCs w:val="28"/>
        </w:rPr>
        <w:t xml:space="preserve">Confidentiality</w:t>
      </w:r>
    </w:p>
    <w:p>
      <w:pPr>
        <w:spacing w:after="120" w:line="300" w:lineRule="atLeast"/>
      </w:pPr>
      <w:r>
        <w:t xml:space="preserve">Both Parties must keep confidential information private for five years after disclosure, or as long as it remains a trade secret. Exceptions apply for information that is public, independently developed, or required to be disclosed by law. Partner will treat End Customer Data and identities of End Customers as Kainam Confidential Information for purposes of regulatory and competitive disclosure protections.</w:t>
      </w:r>
    </w:p>
    <w:p>
      <w:pPr>
        <w:pStyle w:val="Heading1"/>
        <w:spacing w:after="160" w:before="320"/>
      </w:pPr>
      <w:r>
        <w:rPr>
          <w:rFonts w:ascii="Arial" w:cs="Arial" w:eastAsia="Arial" w:hAnsi="Arial"/>
          <w:b/>
          <w:bCs/>
          <w:color w:val="1F4E79"/>
          <w:sz w:val="28"/>
          <w:szCs w:val="28"/>
        </w:rPr>
        <w:t xml:space="preserve">Limitation of Liability and Indemnification</w:t>
      </w:r>
    </w:p>
    <w:p>
      <w:pPr>
        <w:spacing w:after="120" w:line="300" w:lineRule="atLeast"/>
      </w:pPr>
      <w:r>
        <w:rPr>
          <w:b/>
          <w:bCs/>
        </w:rPr>
        <w:t xml:space="preserve">Warranty Disclaimer. </w:t>
      </w:r>
      <w:r>
        <w:t xml:space="preserve">Except as expressly stated in this Agreement, the Platform is provided "AS IS" and "AS AVAILABLE." Kainam disclaims all other warranties, whether express, implied, or statutory, including without limitation any implied warranties of merchantability, fitness for a particular purpose, title, non-infringement, accuracy, and any warranties arising from course of dealing or usage of trade. Kainam does not warrant that the Platform will be uninterrupted, error-free, or that all defects will be corrected. Partner will not make any warranties regarding the Platform to End Customers other than those expressly authorized in writing by Kainam.</w:t>
      </w:r>
    </w:p>
    <w:p>
      <w:r>
        <w:t xml:space="preserve"/>
      </w:r>
    </w:p>
    <w:p>
      <w:pPr>
        <w:spacing w:after="120" w:line="300" w:lineRule="atLeast"/>
      </w:pPr>
      <w:r>
        <w:rPr>
          <w:b/>
          <w:bCs/>
        </w:rPr>
        <w:t xml:space="preserve">Exclusion of Damages. </w:t>
      </w:r>
      <w:r>
        <w:t xml:space="preserve">To the maximum extent permitted by applicable law, in no event will either Party be liable to the other for any indirect, incidental, special, consequential, exemplary, or punitive damages, or for any loss of profits, revenue, business, goodwill, anticipated savings, or data, arising out of or relating to this Agreement or the Platform, regardless of the form of action and whether or not such Party has been advised of the possibility of such damages.</w:t>
      </w:r>
    </w:p>
    <w:p>
      <w:r>
        <w:t xml:space="preserve"/>
      </w:r>
    </w:p>
    <w:p>
      <w:pPr>
        <w:spacing w:after="120" w:line="300" w:lineRule="atLeast"/>
      </w:pPr>
      <w:r>
        <w:rPr>
          <w:b/>
          <w:bCs/>
        </w:rPr>
        <w:t xml:space="preserve">Liability Cap. </w:t>
      </w:r>
      <w:r>
        <w:t xml:space="preserve">Each Party’s total cumulative liability arising out of or relating to this Agreement, regardless of the form of action, will not exceed the total fees paid or payable by Partner to Kainam under this Agreement during the twelve (12) months immediately preceding the event giving rise to the claim.</w:t>
      </w:r>
    </w:p>
    <w:p>
      <w:r>
        <w:t xml:space="preserve"/>
      </w:r>
    </w:p>
    <w:p>
      <w:pPr>
        <w:spacing w:after="120" w:line="300" w:lineRule="atLeast"/>
      </w:pPr>
      <w:r>
        <w:rPr>
          <w:b/>
          <w:bCs/>
        </w:rPr>
        <w:t xml:space="preserve">Exceptions to Limitations. </w:t>
      </w:r>
      <w:r>
        <w:t xml:space="preserve">The exclusions and limitations in this section do not apply to: (a) either Party’s indemnification obligations under this Agreement; (b) breach of confidentiality obligations; (c) Partner’s payment obligations; (d) either Party’s gross negligence, willful misconduct, or fraud; or (e) liabilities that cannot be limited under applicable law.</w:t>
      </w:r>
    </w:p>
    <w:p>
      <w:r>
        <w:t xml:space="preserve"/>
      </w:r>
    </w:p>
    <w:p>
      <w:pPr>
        <w:spacing w:after="120" w:line="300" w:lineRule="atLeast"/>
      </w:pPr>
      <w:r>
        <w:rPr>
          <w:b/>
          <w:bCs/>
        </w:rPr>
        <w:t xml:space="preserve">Kainam Indemnification. </w:t>
      </w:r>
      <w:r>
        <w:t xml:space="preserve">Kainam will defend Partner against any third-party claim alleging that the Platform, as provided by Kainam and used in accordance with this Agreement, infringes a valid U.S. patent, copyright, trademark, or trade secret of such third party, and will indemnify Partner against damages and costs finally awarded by a court of competent jurisdiction or agreed to in settlement, provided that Partner (i) promptly notifies Kainam in writing of the claim, (ii) gives Kainam sole control over the defense and settlement of the claim, and (iii) provides reasonable cooperation at Kainam’s expense. Kainam will have no obligation under this section to the extent the claim arises from: (1) End Customer Data or content provided by Partner or an End Customer; (2) modifications to the Platform not made or authorized by Kainam; (3) combination of the Platform with products, services, or materials not provided by Kainam where the claim would not have arisen but for such combination; or (4) Partner’s or any End Customer’s use of the Platform in violation of this Agreement or applicable law. If the Platform becomes, or in Kainam’s opinion is likely to become, the subject of an infringement claim, Kainam may, at its option and expense: (A) procure for Partner the right to continue distributing the Platform; (B) modify or replace the Platform so it is non-infringing while preserving substantially equivalent functionality; or (C) if neither (A) nor (B) is commercially reasonable, terminate the affected portion of the Agreement and refund any prepaid, unused fees for the affected portion. This section states Kainam’s sole and exclusive liability, and Partner’s sole and exclusive remedy, for any claim of intellectual property infringement.</w:t>
      </w:r>
    </w:p>
    <w:p>
      <w:r>
        <w:t xml:space="preserve"/>
      </w:r>
    </w:p>
    <w:p>
      <w:pPr>
        <w:spacing w:after="120" w:line="300" w:lineRule="atLeast"/>
      </w:pPr>
      <w:r>
        <w:rPr>
          <w:b/>
          <w:bCs/>
        </w:rPr>
        <w:t xml:space="preserve">Partner Indemnification. </w:t>
      </w:r>
      <w:r>
        <w:t xml:space="preserve">Partner will defend, indemnify, and hold harmless Kainam and its affiliates, officers, directors, employees, and agents from and against any third-party claim arising out of or relating to: (i) End Customer Data or any End Customer’s use of the Platform, including any claim that End Customer Data infringes or misappropriates the rights of any third party or violates applicable law; (ii) any End Customer Agreement, including disputes between Partner and any End Customer; (iii) any representation, warranty, or commitment made by Partner regarding the Platform that exceeds those expressly authorized by Kainam; (iv) Partner’s breach of this Agreement, including failure to enter into compliant End Customer Agreements; or (v) Partner’s or any End Customer’s use of the Platform in violation of this Agreement or applicable law. Partner will pay damages and costs finally awarded against Kainam or agreed to in settlement, subject to Kainam (i) promptly notifying Partner of the claim, (ii) giving Partner sole control over the defense and settlement (provided Partner may not settle any claim without Kainam’s prior written consent if the settlement requires admission of liability or imposes any obligation on Kainam), and (iii) providing reasonable cooperation at Partner’s expense.</w:t>
      </w:r>
    </w:p>
    <w:p>
      <w:pPr>
        <w:pStyle w:val="Heading1"/>
        <w:spacing w:after="160" w:before="320"/>
      </w:pPr>
      <w:r>
        <w:rPr>
          <w:rFonts w:ascii="Arial" w:cs="Arial" w:eastAsia="Arial" w:hAnsi="Arial"/>
          <w:b/>
          <w:bCs/>
          <w:color w:val="1F4E79"/>
          <w:sz w:val="28"/>
          <w:szCs w:val="28"/>
        </w:rPr>
        <w:t xml:space="preserve">Reporting</w:t>
      </w:r>
    </w:p>
    <w:p>
      <w:pPr>
        <w:spacing w:after="120" w:line="300" w:lineRule="atLeast"/>
      </w:pPr>
      <w:r>
        <w:t xml:space="preserve">Within thirty (30) days after the end of each calendar quarter, Partner will provide Kainam with a written report identifying: (a) each new End Customer onboarded during the quarter; (b) each End Customer whose subscription was renewed, modified, or terminated during the quarter; (c) the modules and quantities sold to each such End Customer; (d) the deployment model for each subscription; and (e) any other information reasonably requested by Kainam to verify Partner’s compliance with this Agreement.</w:t>
      </w:r>
    </w:p>
    <w:p>
      <w:r>
        <w:t xml:space="preserve"/>
      </w:r>
    </w:p>
    <w:p>
      <w:pPr>
        <w:spacing w:after="120" w:line="300" w:lineRule="atLeast"/>
      </w:pPr>
      <w:r>
        <w:t xml:space="preserve">Kainam will treat Partner’s reports as Partner Confidential Information and will use them solely for purposes of administering this Agreement, billing, support routing, and regulatory compliance.</w:t>
      </w:r>
    </w:p>
    <w:p>
      <w:pPr>
        <w:pStyle w:val="Heading1"/>
        <w:spacing w:after="160" w:before="320"/>
      </w:pPr>
      <w:r>
        <w:rPr>
          <w:rFonts w:ascii="Arial" w:cs="Arial" w:eastAsia="Arial" w:hAnsi="Arial"/>
          <w:b/>
          <w:bCs/>
          <w:color w:val="1F4E79"/>
          <w:sz w:val="28"/>
          <w:szCs w:val="28"/>
        </w:rPr>
        <w:t xml:space="preserve">Audit Compliance</w:t>
      </w:r>
    </w:p>
    <w:p>
      <w:pPr>
        <w:spacing w:after="120" w:line="300" w:lineRule="atLeast"/>
      </w:pPr>
      <w:r>
        <w:t xml:space="preserve">Kainam may audit Partner’s compliance with this Agreement (including the requirements applicable to End Customer Agreements, reporting, and use of Kainam’s marks) once per calendar year, upon thirty (30) days’ written notice.</w:t>
      </w:r>
    </w:p>
    <w:p>
      <w:pPr>
        <w:pStyle w:val="ListParagraph"/>
        <w:numPr>
          <w:ilvl w:val="0"/>
          <w:numId w:val="2"/>
        </w:numPr>
        <w:spacing w:after="100" w:line="300" w:lineRule="atLeast"/>
      </w:pPr>
      <w:r>
        <w:t xml:space="preserve">Audits may include review of End Customer Agreement templates, executed End Customer Agreements (which may be reasonably redacted to protect End Customer commercial terms), reporting records, and security and data handling practices.</w:t>
      </w:r>
    </w:p>
    <w:p>
      <w:pPr>
        <w:pStyle w:val="ListParagraph"/>
        <w:numPr>
          <w:ilvl w:val="0"/>
          <w:numId w:val="2"/>
        </w:numPr>
        <w:spacing w:after="100" w:line="300" w:lineRule="atLeast"/>
      </w:pPr>
      <w:r>
        <w:t xml:space="preserve">Audits shall be conducted during normal business hours and in a manner that minimizes disruption to Partner’s operations.</w:t>
      </w:r>
    </w:p>
    <w:p>
      <w:pPr>
        <w:pStyle w:val="ListParagraph"/>
        <w:numPr>
          <w:ilvl w:val="0"/>
          <w:numId w:val="2"/>
        </w:numPr>
        <w:spacing w:after="100" w:line="300" w:lineRule="atLeast"/>
      </w:pPr>
      <w:r>
        <w:t xml:space="preserve">All information obtained during an audit shall be treated as Partner Confidential Information.</w:t>
      </w:r>
    </w:p>
    <w:p>
      <w:pPr>
        <w:pStyle w:val="ListParagraph"/>
        <w:numPr>
          <w:ilvl w:val="0"/>
          <w:numId w:val="2"/>
        </w:numPr>
        <w:spacing w:after="100" w:line="300" w:lineRule="atLeast"/>
      </w:pPr>
      <w:r>
        <w:t xml:space="preserve">If an audit reveals a material under-reporting or under-payment by Partner, Partner will promptly pay the deficiency, plus interest at the rate set forth in the Payment Terms section. If the under-payment exceeds five percent (5%) of amounts due for the audited period, Partner will also reimburse Kainam’s reasonable audit costs.</w:t>
      </w:r>
    </w:p>
    <w:p>
      <w:r>
        <w:t xml:space="preserve"/>
      </w:r>
    </w:p>
    <w:p>
      <w:pPr>
        <w:spacing w:after="120" w:line="300" w:lineRule="atLeast"/>
      </w:pPr>
      <w:r>
        <w:t xml:space="preserve">Partner may audit Kainam’s compliance with applicable data protection laws as set forth in the Data Ownership, Security and Privacy section, on the same terms as those generally available to Kainam’s direct customers.</w:t>
      </w:r>
    </w:p>
    <w:p>
      <w:pPr>
        <w:pStyle w:val="Heading1"/>
        <w:spacing w:after="160" w:before="320"/>
      </w:pPr>
      <w:r>
        <w:rPr>
          <w:rFonts w:ascii="Arial" w:cs="Arial" w:eastAsia="Arial" w:hAnsi="Arial"/>
          <w:b/>
          <w:bCs/>
          <w:color w:val="1F4E79"/>
          <w:sz w:val="28"/>
          <w:szCs w:val="28"/>
        </w:rPr>
        <w:t xml:space="preserve">Subcontractor Compliance</w:t>
      </w:r>
    </w:p>
    <w:p>
      <w:pPr>
        <w:spacing w:after="120" w:line="300" w:lineRule="atLeast"/>
      </w:pPr>
      <w:r>
        <w:t xml:space="preserve">Kainam may engage subcontractors to perform its obligations under this Agreement, provided that:</w:t>
      </w:r>
    </w:p>
    <w:p>
      <w:pPr>
        <w:pStyle w:val="ListParagraph"/>
        <w:numPr>
          <w:ilvl w:val="0"/>
          <w:numId w:val="2"/>
        </w:numPr>
        <w:spacing w:after="100" w:line="300" w:lineRule="atLeast"/>
      </w:pPr>
      <w:r>
        <w:t xml:space="preserve">Kainam remains fully responsible for the acts and omissions of its subcontractors;</w:t>
      </w:r>
    </w:p>
    <w:p>
      <w:pPr>
        <w:pStyle w:val="ListParagraph"/>
        <w:numPr>
          <w:ilvl w:val="0"/>
          <w:numId w:val="2"/>
        </w:numPr>
        <w:spacing w:after="100" w:line="300" w:lineRule="atLeast"/>
      </w:pPr>
      <w:r>
        <w:t xml:space="preserve">Kainam shall ensure that all subcontractors are bound by written agreements requiring compliance with the confidentiality, data protection, and security obligations set forth in this Agreement;</w:t>
      </w:r>
    </w:p>
    <w:p>
      <w:pPr>
        <w:pStyle w:val="ListParagraph"/>
        <w:numPr>
          <w:ilvl w:val="0"/>
          <w:numId w:val="2"/>
        </w:numPr>
        <w:spacing w:after="100" w:line="300" w:lineRule="atLeast"/>
      </w:pPr>
      <w:r>
        <w:t xml:space="preserve">Kainam will notify Partner in advance if any material portion of the services will be performed by a subcontractor;</w:t>
      </w:r>
    </w:p>
    <w:p>
      <w:pPr>
        <w:pStyle w:val="ListParagraph"/>
        <w:numPr>
          <w:ilvl w:val="0"/>
          <w:numId w:val="2"/>
        </w:numPr>
        <w:spacing w:after="100" w:line="300" w:lineRule="atLeast"/>
      </w:pPr>
      <w:r>
        <w:t xml:space="preserve">Upon reasonable request, Kainam will provide Partner with information regarding subcontractors involved in the provision of services under this Agreement; and</w:t>
      </w:r>
    </w:p>
    <w:p>
      <w:pPr>
        <w:pStyle w:val="ListParagraph"/>
        <w:numPr>
          <w:ilvl w:val="0"/>
          <w:numId w:val="2"/>
        </w:numPr>
        <w:spacing w:after="100" w:line="300" w:lineRule="atLeast"/>
      </w:pPr>
      <w:r>
        <w:t xml:space="preserve">Audit rights under this Agreement shall extend to relevant subcontractors, subject to reasonable limitations.</w:t>
      </w:r>
    </w:p>
    <w:p>
      <w:pPr>
        <w:pStyle w:val="Heading1"/>
        <w:spacing w:after="160" w:before="320"/>
      </w:pPr>
      <w:r>
        <w:rPr>
          <w:rFonts w:ascii="Arial" w:cs="Arial" w:eastAsia="Arial" w:hAnsi="Arial"/>
          <w:b/>
          <w:bCs/>
          <w:color w:val="1F4E79"/>
          <w:sz w:val="28"/>
          <w:szCs w:val="28"/>
        </w:rPr>
        <w:t xml:space="preserve">Change Management</w:t>
      </w:r>
    </w:p>
    <w:p>
      <w:pPr>
        <w:spacing w:after="120" w:line="300" w:lineRule="atLeast"/>
      </w:pPr>
      <w:r>
        <w:t xml:space="preserve">Kainam may update or modify the Platform from time to time. Kainam will provide Partner with reasonable advance notice of major changes, deprecations, or scheduled downtime that materially affect functionality or availability, so that Partner may communicate with affected End Customers.</w:t>
      </w:r>
    </w:p>
    <w:p>
      <w:pPr>
        <w:pStyle w:val="Heading1"/>
        <w:spacing w:after="160" w:before="320"/>
      </w:pPr>
      <w:r>
        <w:rPr>
          <w:rFonts w:ascii="Arial" w:cs="Arial" w:eastAsia="Arial" w:hAnsi="Arial"/>
          <w:b/>
          <w:bCs/>
          <w:color w:val="1F4E79"/>
          <w:sz w:val="28"/>
          <w:szCs w:val="28"/>
        </w:rPr>
        <w:t xml:space="preserve">Independent Contractors and Non-Exclusivity</w:t>
      </w:r>
    </w:p>
    <w:p>
      <w:pPr>
        <w:spacing w:after="120" w:line="300" w:lineRule="atLeast"/>
      </w:pPr>
      <w:r>
        <w:t xml:space="preserve">The Parties are independent contractors. Nothing in this Agreement creates a partnership, joint venture, agency, fiduciary, or employment relationship between the Parties. Neither Party has authority to bind the other or to incur obligations on the other’s behalf. This Agreement is non-exclusive; Kainam may sell the Platform directly to end customers and may engage other resellers, distributors, or partners in any market, vertical, or territory, including those in which Partner is active.</w:t>
      </w:r>
    </w:p>
    <w:p>
      <w:pPr>
        <w:pStyle w:val="Heading1"/>
        <w:spacing w:after="160" w:before="320"/>
      </w:pPr>
      <w:r>
        <w:rPr>
          <w:rFonts w:ascii="Arial" w:cs="Arial" w:eastAsia="Arial" w:hAnsi="Arial"/>
          <w:b/>
          <w:bCs/>
          <w:color w:val="1F4E79"/>
          <w:sz w:val="28"/>
          <w:szCs w:val="28"/>
        </w:rPr>
        <w:t xml:space="preserve">Governing Law and Miscellaneous</w:t>
      </w:r>
    </w:p>
    <w:p>
      <w:pPr>
        <w:spacing w:after="120" w:line="300" w:lineRule="atLeast"/>
      </w:pPr>
      <w:r>
        <w:t xml:space="preserve">This Agreement is governed by the laws of the State of Delaware, without regard to its conflict-of-laws principles. The Parties consent to the exclusive jurisdiction of the state and federal courts located in Delaware for any dispute arising out of or relating to this Agreement. Neither Party may assign this Agreement without the other’s prior written consent, except that either Party may assign this Agreement to a successor in connection with a merger, acquisition, or sale of substantially all of its assets, upon written notice to the other Party. This Agreement is the entire agreement between the Parties on its subject matter and supersedes all prior or contemporaneous agreements. Amendments require a writing signed by both Parties. Except as expressly stated, no third party (including any End Customer) has any rights under this Agreement. Notices must be in writing and sent to the contacts listed in the signature block, with email notice deemed received upon confirmation of receipt.</w:t>
      </w:r>
    </w:p>
    <w:p>
      <w:pPr>
        <w:pStyle w:val="Heading1"/>
        <w:spacing w:after="160" w:before="320"/>
      </w:pPr>
      <w:r>
        <w:rPr>
          <w:rFonts w:ascii="Arial" w:cs="Arial" w:eastAsia="Arial" w:hAnsi="Arial"/>
          <w:b/>
          <w:bCs/>
          <w:color w:val="1F4E79"/>
          <w:sz w:val="28"/>
          <w:szCs w:val="28"/>
        </w:rPr>
        <w:t xml:space="preserve">Force Majeure</w:t>
      </w:r>
    </w:p>
    <w:p>
      <w:pPr>
        <w:spacing w:after="120" w:line="300" w:lineRule="atLeast"/>
      </w:pPr>
      <w:r>
        <w:t xml:space="preserve">Neither Party is liable for failure to perform due to events beyond its reasonable control, including natural disasters, war, terrorism, government action, labor disputes, internet or utility failures, and pandemics. The affected Party will notify the other promptly and use reasonable efforts to resume performance.</w:t>
      </w:r>
    </w:p>
    <w:p>
      <w:pPr>
        <w:pStyle w:val="Heading1"/>
        <w:spacing w:after="160" w:before="320"/>
      </w:pPr>
      <w:r>
        <w:rPr>
          <w:rFonts w:ascii="Arial" w:cs="Arial" w:eastAsia="Arial" w:hAnsi="Arial"/>
          <w:b/>
          <w:bCs/>
          <w:color w:val="1F4E79"/>
          <w:sz w:val="28"/>
          <w:szCs w:val="28"/>
        </w:rPr>
        <w:t xml:space="preserve">Signatures and Execution</w:t>
      </w:r>
    </w:p>
    <w:p>
      <w:pPr>
        <w:spacing w:after="120" w:line="300" w:lineRule="atLeast"/>
      </w:pPr>
      <w:r>
        <w:t xml:space="preserve">This Agreement shall be effective upon execution by authorized representatives of both Parties.</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BFBFBF" w:sz="4"/>
              <w:left w:val="single" w:color="BFBFBF" w:sz="4"/>
              <w:bottom w:val="single" w:color="BFBFBF" w:sz="4"/>
              <w:right w:val="single" w:color="BFBFBF" w:sz="4"/>
            </w:tcBorders>
            <w:shd w:fill="DEEAF6" w:val="clear"/>
            <w:tcMar>
              <w:top w:type="dxa" w:w="100"/>
              <w:left w:type="dxa" w:w="140"/>
              <w:bottom w:type="dxa" w:w="100"/>
              <w:right w:type="dxa" w:w="140"/>
            </w:tcMar>
          </w:tcPr>
          <w:p>
            <w:pPr>
              <w:spacing w:after="80"/>
            </w:pPr>
            <w:r>
              <w:rPr>
                <w:b/>
                <w:bCs/>
              </w:rPr>
              <w:t xml:space="preserve">Kainam Corporation</w:t>
            </w:r>
          </w:p>
        </w:tc>
        <w:tc>
          <w:tcPr>
            <w:tcW w:type="dxa" w:w="4680"/>
            <w:tcBorders>
              <w:top w:val="single" w:color="BFBFBF" w:sz="4"/>
              <w:left w:val="single" w:color="BFBFBF" w:sz="4"/>
              <w:bottom w:val="single" w:color="BFBFBF" w:sz="4"/>
              <w:right w:val="single" w:color="BFBFBF" w:sz="4"/>
            </w:tcBorders>
            <w:shd w:fill="DEEAF6" w:val="clear"/>
            <w:tcMar>
              <w:top w:type="dxa" w:w="100"/>
              <w:left w:type="dxa" w:w="140"/>
              <w:bottom w:type="dxa" w:w="100"/>
              <w:right w:type="dxa" w:w="140"/>
            </w:tcMar>
          </w:tcPr>
          <w:p>
            <w:pPr>
              <w:spacing w:after="80"/>
            </w:pPr>
            <w:r>
              <w:rPr>
                <w:b/>
                <w:bCs/>
              </w:rPr>
              <w:t xml:space="preserve">Partner:</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Signature: _______________________</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Signature: _______________________</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Name: Louis Litrenta</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Name:</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Title: VP, Sales</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Title:</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Date:</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Date:</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Notice Address: 16192 Coastal Hwy, Lewes, DE 19958</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Legal Entity Name:</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Notice Email: legal@kainam.ai</w:t>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Notice Address:</w:t>
            </w:r>
          </w:p>
        </w:tc>
      </w:tr>
      <w:tr>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
            </w:r>
          </w:p>
        </w:tc>
        <w:tc>
          <w:tcPr>
            <w:tcW w:type="dxa" w:w="4680"/>
            <w:tcBorders>
              <w:top w:val="single" w:color="BFBFBF" w:sz="4"/>
              <w:left w:val="single" w:color="BFBFBF" w:sz="4"/>
              <w:bottom w:val="single" w:color="BFBFBF" w:sz="4"/>
              <w:right w:val="single" w:color="BFBFBF" w:sz="4"/>
            </w:tcBorders>
            <w:tcMar>
              <w:top w:type="dxa" w:w="100"/>
              <w:left w:type="dxa" w:w="140"/>
              <w:bottom w:type="dxa" w:w="100"/>
              <w:right w:type="dxa" w:w="140"/>
            </w:tcMar>
          </w:tcPr>
          <w:p>
            <w:pPr>
              <w:spacing w:after="80"/>
            </w:pPr>
            <w:r>
              <w:rPr>
                <w:b w:val="false"/>
                <w:bCs w:val="false"/>
              </w:rPr>
              <w:t xml:space="preserve">Notice Email:</w:t>
            </w:r>
          </w:p>
        </w:tc>
      </w:tr>
    </w:tbl>
    <w:p>
      <w:pPr>
        <w:pageBreakBefore/>
        <w:spacing w:after="240" w:before="240"/>
        <w:jc w:val="center"/>
      </w:pPr>
      <w:r>
        <w:rPr>
          <w:rFonts w:ascii="Arial" w:cs="Arial" w:eastAsia="Arial" w:hAnsi="Arial"/>
          <w:b/>
          <w:bCs/>
          <w:color w:val="1F4E79"/>
          <w:sz w:val="32"/>
          <w:szCs w:val="32"/>
        </w:rPr>
        <w:t xml:space="preserve">Exhibit A — Pricing Schedule</w:t>
      </w:r>
    </w:p>
    <w:p>
      <w:pPr>
        <w:spacing w:after="120" w:line="300" w:lineRule="atLeast"/>
      </w:pPr>
      <w:r>
        <w:rPr>
          <w:b/>
          <w:bCs/>
        </w:rPr>
        <w:t xml:space="preserve">Wholesale Discount: </w:t>
      </w:r>
      <w:r>
        <w:t xml:space="preserve">Partner shall purchase the Platform from Kainam at a discount of ____% off Kainam’s then-current List Price (the “Wholesale Discount”).</w:t>
      </w:r>
    </w:p>
    <w:p>
      <w:r>
        <w:t xml:space="preserve"/>
      </w:r>
    </w:p>
    <w:p>
      <w:pPr>
        <w:spacing w:after="120" w:line="300" w:lineRule="atLeast"/>
      </w:pPr>
      <w:r>
        <w:rPr>
          <w:b/>
          <w:bCs/>
        </w:rPr>
        <w:t xml:space="preserve">Tiered Volume Discount (optional): </w:t>
      </w:r>
      <w:r>
        <w:t xml:space="preserve">If the Parties agree, the Wholesale Discount may be tiered based on aggregate annual contract value of new End Customer subscriptions sold by Partner. Tiers, if applicable, will be specified below or in a signed amendment.</w:t>
      </w:r>
    </w:p>
    <w:p>
      <w:r>
        <w:t xml:space="preserve"/>
      </w:r>
    </w:p>
    <w:p>
      <w:pPr>
        <w:spacing w:after="120" w:line="300" w:lineRule="atLeast"/>
      </w:pPr>
      <w:r>
        <w:t xml:space="preserve">[Tier 1: $0 – $___ ACV → ___% discount]</w:t>
      </w:r>
    </w:p>
    <w:p>
      <w:pPr>
        <w:spacing w:after="120" w:line="300" w:lineRule="atLeast"/>
      </w:pPr>
      <w:r>
        <w:t xml:space="preserve">[Tier 2: $___ – $___ ACV → ___% discount]</w:t>
      </w:r>
    </w:p>
    <w:p>
      <w:pPr>
        <w:spacing w:after="120" w:line="300" w:lineRule="atLeast"/>
      </w:pPr>
      <w:r>
        <w:t xml:space="preserve">[Tier 3: $___+ ACV → ___% discount]</w:t>
      </w:r>
    </w:p>
    <w:p>
      <w:r>
        <w:t xml:space="preserve"/>
      </w:r>
    </w:p>
    <w:p>
      <w:pPr>
        <w:spacing w:after="120" w:line="300" w:lineRule="atLeast"/>
      </w:pPr>
      <w:r>
        <w:rPr>
          <w:b/>
          <w:bCs/>
        </w:rPr>
        <w:t xml:space="preserve">Consumption Rates: </w:t>
      </w:r>
      <w:r>
        <w:t xml:space="preserve">Kainam’s then-current consumption rates apply for Kainam-hosted deployments, plus the $100 per quarter processing and handling fee. Current rates will be provided by Kainam upon request and may be updated as set forth in the Pricing and Wholesale Discount section of the Agreement.</w:t>
      </w:r>
    </w:p>
    <w:p>
      <w:r>
        <w:t xml:space="preserve"/>
      </w:r>
    </w:p>
    <w:p>
      <w:pPr>
        <w:spacing w:after="120" w:line="300" w:lineRule="atLeast"/>
      </w:pPr>
      <w:r>
        <w:rPr>
          <w:b/>
          <w:bCs/>
        </w:rPr>
        <w:t xml:space="preserve">Minimum Commitment (optional): </w:t>
      </w:r>
      <w:r>
        <w:t xml:space="preserve">[None / Annual minimum of $___ in Wholesale Price purchases].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BFBFBF" w:sz="6" w:space="4"/>
      </w:pBdr>
      <w:tabs>
        <w:tab w:val="left" w:pos="0"/>
        <w:tab w:val="right" w:pos="9360"/>
      </w:tabs>
    </w:pPr>
    <w:r>
      <w:rPr>
        <w:sz w:val="18"/>
        <w:szCs w:val="18"/>
      </w:rPr>
      <w:t xml:space="preserve">KAI — Reseller Agreement 2026</w:t>
    </w:r>
    <w:r>
      <w:t xml:space="preserve">	</w:t>
    </w:r>
    <w:r>
      <w:rPr>
        <w:sz w:val="18"/>
        <w:szCs w:val="18"/>
      </w:rPr>
      <w:t xml:space="preserve">Page </w:t>
    </w:r>
    <w:r>
      <w:rPr>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1F4E79"/>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Kainam Reseller Agreement</dc:title>
  <dc:creator>Kainam Corporation</dc:creator>
  <cp:lastModifiedBy>Un-named</cp:lastModifiedBy>
  <cp:revision>1</cp:revision>
  <dcterms:created xsi:type="dcterms:W3CDTF">2026-04-27T21:54:48.123Z</dcterms:created>
  <dcterms:modified xsi:type="dcterms:W3CDTF">2026-04-27T21:54:48.124Z</dcterms:modified>
</cp:coreProperties>
</file>

<file path=docProps/custom.xml><?xml version="1.0" encoding="utf-8"?>
<Properties xmlns="http://schemas.openxmlformats.org/officeDocument/2006/custom-properties" xmlns:vt="http://schemas.openxmlformats.org/officeDocument/2006/docPropsVTypes"/>
</file>