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t xml:space="preserve"/>
      </w:r>
    </w:p>
    <w:p>
      <w:r>
        <w:t xml:space="preserve"/>
      </w:r>
    </w:p>
    <w:p>
      <w:r>
        <w:t xml:space="preserve"/>
      </w:r>
    </w:p>
    <w:p>
      <w:r>
        <w:t xml:space="preserve"/>
      </w:r>
    </w:p>
    <w:p>
      <w:r>
        <w:t xml:space="preserve"/>
      </w:r>
    </w:p>
    <w:p>
      <w:pPr>
        <w:spacing w:after="240"/>
        <w:jc w:val="center"/>
      </w:pPr>
      <w:r>
        <w:rPr>
          <w:rFonts w:ascii="Arial" w:cs="Arial" w:eastAsia="Arial" w:hAnsi="Arial"/>
          <w:b/>
          <w:bCs/>
          <w:color w:val="1F4E79"/>
          <w:sz w:val="40"/>
          <w:szCs w:val="40"/>
        </w:rPr>
        <w:t xml:space="preserve">Kainam OEM and White-Label Agreement</w:t>
      </w:r>
    </w:p>
    <w:p>
      <w:pPr>
        <w:spacing w:after="480"/>
        <w:jc w:val="center"/>
      </w:pPr>
      <w:r>
        <w:rPr>
          <w:rFonts w:ascii="Arial" w:cs="Arial" w:eastAsia="Arial" w:hAnsi="Arial"/>
          <w:i/>
          <w:iCs/>
          <w:color w:val="1F4E79"/>
          <w:sz w:val="26"/>
          <w:szCs w:val="26"/>
        </w:rPr>
        <w:t xml:space="preserve">Embedding, Rebranding, and Redistribution Terms</w:t>
      </w:r>
    </w:p>
    <w:p>
      <w:pPr>
        <w:spacing w:after="120" w:line="300" w:lineRule="atLeast"/>
      </w:pPr>
      <w:r>
        <w:t xml:space="preserve">Presented by Kainam</w:t>
      </w:r>
    </w:p>
    <w:p>
      <w:pPr>
        <w:spacing w:after="120" w:line="300" w:lineRule="atLeast"/>
      </w:pPr>
      <w:r>
        <w:t xml:space="preserve">Prepared for: PARTNER</w:t>
      </w:r>
    </w:p>
    <w:p>
      <w:pPr>
        <w:spacing w:after="120" w:line="300" w:lineRule="atLeast"/>
      </w:pPr>
      <w:r>
        <w:t xml:space="preserve">Date: ____________________</w:t>
      </w:r>
    </w:p>
    <w:p>
      <w:r>
        <w:t xml:space="preserve"/>
      </w:r>
    </w:p>
    <w:p>
      <w:pPr>
        <w:spacing w:after="120" w:line="300" w:lineRule="atLeast"/>
      </w:pPr>
      <w:r>
        <w:t xml:space="preserve">This document contains confidential information intended only for the recipient listed above.</w:t>
      </w:r>
    </w:p>
    <w:p>
      <w:r>
        <w:t xml:space="preserve"/>
      </w:r>
    </w:p>
    <w:p>
      <w:r>
        <w:t xml:space="preserve"/>
      </w:r>
    </w:p>
    <w:p>
      <w:r>
        <w:t xml:space="preserve"/>
      </w:r>
    </w:p>
    <w:p>
      <w:pPr>
        <w:spacing w:after="120" w:line="300" w:lineRule="atLeast"/>
      </w:pPr>
      <w:r>
        <w:rPr>
          <w:b/>
          <w:bCs/>
        </w:rPr>
        <w:t xml:space="preserve">Kainam Direct Access</w:t>
      </w:r>
    </w:p>
    <w:p>
      <w:pPr>
        <w:spacing w:after="120" w:line="300" w:lineRule="atLeast"/>
      </w:pPr>
      <w:r>
        <w:t xml:space="preserve">Louis Litrenta</w:t>
      </w:r>
    </w:p>
    <w:p>
      <w:pPr>
        <w:spacing w:after="120" w:line="300" w:lineRule="atLeast"/>
      </w:pPr>
      <w:r>
        <w:t xml:space="preserve">Vice President, Sales</w:t>
      </w:r>
    </w:p>
    <w:p>
      <w:pPr>
        <w:spacing w:after="120" w:line="300" w:lineRule="atLeast"/>
      </w:pPr>
      <w:r>
        <w:t xml:space="preserve">Email: llitrenta@kainam.ai</w:t>
      </w:r>
    </w:p>
    <w:p>
      <w:pPr>
        <w:spacing w:after="120" w:line="300" w:lineRule="atLeast"/>
      </w:pPr>
      <w:r>
        <w:t xml:space="preserve">Phone: 908.507.2835</w:t>
      </w:r>
    </w:p>
    <w:p>
      <w:r>
        <w:br w:type="page"/>
      </w:r>
    </w:p>
    <w:p>
      <w:pPr>
        <w:sectPr>
          <w:pgSz w:w="12240" w:h="15840" w:orient="portrait"/>
          <w:pgMar w:top="1440" w:right="1440" w:bottom="1440" w:left="1440" w:header="708" w:footer="708" w:gutter="0"/>
          <w:pgNumType/>
          <w:docGrid w:linePitch="360"/>
        </w:sectPr>
      </w:pPr>
    </w:p>
    <w:p>
      <w:pPr>
        <w:pStyle w:val="Heading1"/>
        <w:spacing w:after="160" w:before="320"/>
      </w:pPr>
      <w:r>
        <w:rPr>
          <w:rFonts w:ascii="Arial" w:cs="Arial" w:eastAsia="Arial" w:hAnsi="Arial"/>
          <w:b/>
          <w:bCs/>
          <w:color w:val="1F4E79"/>
          <w:sz w:val="28"/>
          <w:szCs w:val="28"/>
        </w:rPr>
        <w:t xml:space="preserve">Parties</w:t>
      </w:r>
    </w:p>
    <w:p>
      <w:pPr>
        <w:spacing w:after="120" w:line="300" w:lineRule="atLeast"/>
      </w:pPr>
      <w:r>
        <w:t xml:space="preserve">This Kainam OEM and White-Label Agreement ("Agreement") is made by and between Kainam Corporation, a Delaware corporation ("Kainam"), and the entity identified in the signature block below ("Partner"). Together, Kainam and the Partner are referred to herein as the "Parties."</w:t>
      </w:r>
    </w:p>
    <w:p>
      <w:pPr>
        <w:pStyle w:val="Heading1"/>
        <w:spacing w:after="160" w:before="320"/>
      </w:pPr>
      <w:r>
        <w:rPr>
          <w:rFonts w:ascii="Arial" w:cs="Arial" w:eastAsia="Arial" w:hAnsi="Arial"/>
          <w:b/>
          <w:bCs/>
          <w:color w:val="1F4E79"/>
          <w:sz w:val="28"/>
          <w:szCs w:val="28"/>
        </w:rPr>
        <w:t xml:space="preserve">Definitions</w:t>
      </w:r>
    </w:p>
    <w:p>
      <w:pPr>
        <w:spacing w:after="120" w:line="300" w:lineRule="atLeast"/>
      </w:pPr>
      <w:r>
        <w:t xml:space="preserve">"Platform" means Kainam’s hosted software and services, including any APIs, SDKs, documentation, and updates provided by Kainam.</w:t>
      </w:r>
    </w:p>
    <w:p>
      <w:pPr>
        <w:spacing w:after="120" w:line="300" w:lineRule="atLeast"/>
      </w:pPr>
      <w:r>
        <w:t xml:space="preserve">"Partner Branding" means Partner’s names, logos, trademarks, trade dress, color schemes, domain names, and other brand elements.</w:t>
      </w:r>
    </w:p>
    <w:p>
      <w:pPr>
        <w:spacing w:after="120" w:line="300" w:lineRule="atLeast"/>
      </w:pPr>
      <w:r>
        <w:t xml:space="preserve">"Partner Solution" means Partner’s commercial offering that incorporates, embeds, or rebrands the Platform under Partner Branding, as further described in an Order Form or Statement of Work.</w:t>
      </w:r>
    </w:p>
    <w:p>
      <w:pPr>
        <w:spacing w:after="120" w:line="300" w:lineRule="atLeast"/>
      </w:pPr>
      <w:r>
        <w:t xml:space="preserve">"Partner Customizations" means user-interface skins, configurations, workflow templates, integrations, extensions, and similar elements that Partner creates and applies on top of, or alongside, the Platform to produce the Partner Solution. Partner Customizations expressly exclude the Platform itself, its source code, and any modifications to the Platform’s core functionality.</w:t>
      </w:r>
    </w:p>
    <w:p>
      <w:pPr>
        <w:spacing w:after="120" w:line="300" w:lineRule="atLeast"/>
      </w:pPr>
      <w:r>
        <w:t xml:space="preserve">"End Customer" means any third party to whom Partner licenses, sublicenses, or provides access to the Partner Solution.</w:t>
      </w:r>
    </w:p>
    <w:p>
      <w:pPr>
        <w:spacing w:after="120" w:line="300" w:lineRule="atLeast"/>
      </w:pPr>
      <w:r>
        <w:t xml:space="preserve">"End Customer Data" means all data uploaded to the Partner Solution by, on behalf of, or generated for an End Customer.</w:t>
      </w:r>
    </w:p>
    <w:p>
      <w:pPr>
        <w:spacing w:after="120" w:line="300" w:lineRule="atLeast"/>
      </w:pPr>
      <w:r>
        <w:t xml:space="preserve">"End Customer Agreement" or "EUA" means the written agreement between Partner and an End Customer governing the End Customer’s use of the Partner Solution, which must satisfy the requirements set forth in this Agreement.</w:t>
      </w:r>
    </w:p>
    <w:p>
      <w:pPr>
        <w:spacing w:after="120" w:line="300" w:lineRule="atLeast"/>
      </w:pPr>
      <w:r>
        <w:t xml:space="preserve">"Powered-By Attribution" means the attribution required under the Branding and Trademark License section of this Agreement.</w:t>
      </w:r>
    </w:p>
    <w:p>
      <w:pPr>
        <w:spacing w:after="120" w:line="300" w:lineRule="atLeast"/>
      </w:pPr>
      <w:r>
        <w:t xml:space="preserve">"List Price" means Kainam’s then-current published price for the Platform and any related modules or services.</w:t>
      </w:r>
    </w:p>
    <w:p>
      <w:pPr>
        <w:spacing w:after="120" w:line="300" w:lineRule="atLeast"/>
      </w:pPr>
      <w:r>
        <w:t xml:space="preserve">"Wholesale Price" means the price payable by Partner to Kainam, calculated as the List Price less the Wholesale Discount set forth in the Pricing Schedule.</w:t>
      </w:r>
    </w:p>
    <w:p>
      <w:pPr>
        <w:spacing w:after="120" w:line="300" w:lineRule="atLeast"/>
      </w:pPr>
      <w:r>
        <w:t xml:space="preserve">"Consumption Fees" means usage-based charges that reflect the volume or frequency of service consumption, such as API calls, data processed, or active users.</w:t>
      </w:r>
    </w:p>
    <w:p>
      <w:pPr>
        <w:spacing w:after="120" w:line="300" w:lineRule="atLeast"/>
      </w:pPr>
      <w:r>
        <w:t xml:space="preserve">"Territory" means worldwide, except where prohibited by applicable law or U.S. export controls, unless a more limited Territory is specified in an Order Form.</w:t>
      </w:r>
    </w:p>
    <w:p>
      <w:pPr>
        <w:pStyle w:val="Heading1"/>
        <w:spacing w:after="160" w:before="320"/>
      </w:pPr>
      <w:r>
        <w:rPr>
          <w:rFonts w:ascii="Arial" w:cs="Arial" w:eastAsia="Arial" w:hAnsi="Arial"/>
          <w:b/>
          <w:bCs/>
          <w:color w:val="1F4E79"/>
          <w:sz w:val="28"/>
          <w:szCs w:val="28"/>
        </w:rPr>
        <w:t xml:space="preserve">License and Distribution Rights</w:t>
      </w:r>
    </w:p>
    <w:p>
      <w:pPr>
        <w:spacing w:after="120" w:line="300" w:lineRule="atLeast"/>
      </w:pPr>
      <w:r>
        <w:t xml:space="preserve">Subject to the terms of this Agreement and Partner’s payment of all applicable fees, Kainam grants Partner a non-exclusive, non-transferable, non-sublicensable (except as expressly permitted below) right during the term to:</w:t>
      </w:r>
    </w:p>
    <w:p>
      <w:pPr>
        <w:pStyle w:val="ListParagraph"/>
        <w:numPr>
          <w:ilvl w:val="0"/>
          <w:numId w:val="2"/>
        </w:numPr>
        <w:spacing w:after="100" w:line="300" w:lineRule="atLeast"/>
      </w:pPr>
      <w:r>
        <w:t xml:space="preserve">Embed, integrate, and incorporate the Platform into the Partner Solution within the Territory;</w:t>
      </w:r>
    </w:p>
    <w:p>
      <w:pPr>
        <w:pStyle w:val="ListParagraph"/>
        <w:numPr>
          <w:ilvl w:val="0"/>
          <w:numId w:val="2"/>
        </w:numPr>
        <w:spacing w:after="100" w:line="300" w:lineRule="atLeast"/>
      </w:pPr>
      <w:r>
        <w:t xml:space="preserve">Rebrand the Partner Solution under Partner Branding, subject to the Powered-By Attribution requirement set forth below;</w:t>
      </w:r>
    </w:p>
    <w:p>
      <w:pPr>
        <w:pStyle w:val="ListParagraph"/>
        <w:numPr>
          <w:ilvl w:val="0"/>
          <w:numId w:val="2"/>
        </w:numPr>
        <w:spacing w:after="100" w:line="300" w:lineRule="atLeast"/>
      </w:pPr>
      <w:r>
        <w:t xml:space="preserve">Market, promote, and distribute the Partner Solution to End Customers within the Territory;</w:t>
      </w:r>
    </w:p>
    <w:p>
      <w:pPr>
        <w:pStyle w:val="ListParagraph"/>
        <w:numPr>
          <w:ilvl w:val="0"/>
          <w:numId w:val="2"/>
        </w:numPr>
        <w:spacing w:after="100" w:line="300" w:lineRule="atLeast"/>
      </w:pPr>
      <w:r>
        <w:t xml:space="preserve">Sublicense use of the Partner Solution to End Customers solely through an End Customer Agreement that complies with this Agreement; and</w:t>
      </w:r>
    </w:p>
    <w:p>
      <w:pPr>
        <w:pStyle w:val="ListParagraph"/>
        <w:numPr>
          <w:ilvl w:val="0"/>
          <w:numId w:val="2"/>
        </w:numPr>
        <w:spacing w:after="100" w:line="300" w:lineRule="atLeast"/>
      </w:pPr>
      <w:r>
        <w:t xml:space="preserve">Use a reasonable number of internal Platform instances solely for development of the Partner Solution, demonstration, training, sales support, and providing Tier 1 and Tier 2 support to End Customers.</w:t>
      </w:r>
    </w:p>
    <w:p>
      <w:r>
        <w:t xml:space="preserve"/>
      </w:r>
    </w:p>
    <w:p>
      <w:pPr>
        <w:spacing w:after="120" w:line="300" w:lineRule="atLeast"/>
      </w:pPr>
      <w:r>
        <w:rPr>
          <w:b/>
          <w:bCs/>
        </w:rPr>
        <w:t xml:space="preserve">Restrictions. </w:t>
      </w:r>
      <w:r>
        <w:t xml:space="preserve">Partner will not, and will not permit any End Customer or third party to: (a) modify, translate, reverse engineer, decompile, or disassemble the Platform, except to the extent expressly permitted by applicable law; (b) create derivative works of the Platform itself (this restriction does not limit Partner’s rights to create Partner Customizations as defined and permitted herein); (c) remove, alter, or obscure any proprietary notices on the Platform, except as expressly permitted by the Branding and Trademark License section; (d) use the Platform to develop or operate a product that competes with the Platform; (e) transfer, sublicense, lease, lend, or rent the Platform other than as expressly permitted under this Agreement; or (f) use the Platform in violation of applicable law or third-party rights.</w:t>
      </w:r>
    </w:p>
    <w:p>
      <w:r>
        <w:t xml:space="preserve"/>
      </w:r>
    </w:p>
    <w:p>
      <w:pPr>
        <w:spacing w:after="120" w:line="300" w:lineRule="atLeast"/>
      </w:pPr>
      <w:r>
        <w:rPr>
          <w:b/>
          <w:bCs/>
        </w:rPr>
        <w:t xml:space="preserve">Reservation of Rights. </w:t>
      </w:r>
      <w:r>
        <w:t xml:space="preserve">All rights not expressly granted to Partner are reserved by Kainam. Nothing in this Agreement transfers ownership of the Platform or any related intellectual property to Partner.</w:t>
      </w:r>
    </w:p>
    <w:p>
      <w:pPr>
        <w:pStyle w:val="Heading1"/>
        <w:spacing w:after="160" w:before="320"/>
      </w:pPr>
      <w:r>
        <w:rPr>
          <w:rFonts w:ascii="Arial" w:cs="Arial" w:eastAsia="Arial" w:hAnsi="Arial"/>
          <w:b/>
          <w:bCs/>
          <w:color w:val="1F4E79"/>
          <w:sz w:val="28"/>
          <w:szCs w:val="28"/>
        </w:rPr>
        <w:t xml:space="preserve">Branding and Trademark License</w:t>
      </w:r>
    </w:p>
    <w:p>
      <w:pPr>
        <w:spacing w:after="120" w:line="300" w:lineRule="atLeast"/>
      </w:pPr>
      <w:r>
        <w:rPr>
          <w:b/>
          <w:bCs/>
        </w:rPr>
        <w:t xml:space="preserve">Partner Branding. </w:t>
      </w:r>
      <w:r>
        <w:t xml:space="preserve">Partner may apply Partner Branding to the user interface and user-facing materials of the Partner Solution, including login screens, navigation, dashboards, documentation, and end-customer-facing communications. Partner is solely responsible for the legality and propriety of Partner Branding and represents that Partner Branding does not infringe the rights of any third party.</w:t>
      </w:r>
    </w:p>
    <w:p>
      <w:r>
        <w:t xml:space="preserve"/>
      </w:r>
    </w:p>
    <w:p>
      <w:pPr>
        <w:spacing w:after="120" w:line="300" w:lineRule="atLeast"/>
      </w:pPr>
      <w:r>
        <w:rPr>
          <w:b/>
          <w:bCs/>
        </w:rPr>
        <w:t xml:space="preserve">Powered-By Attribution. </w:t>
      </w:r>
      <w:r>
        <w:t xml:space="preserve">Partner will display a "Powered by Kainam" attribution in the Partner Solution. At a minimum, the attribution must appear in (a) the application footer or "About" / "Legal" screen of the Partner Solution, and (b) the Partner Solution’s end-user documentation. The attribution must be legible and not actively concealed, but it need not be prominent and may be styled to fit the visual design of the Partner Solution. Partner may use the form "Powered by Kainam" or a substantially similar form approved by Kainam in writing.</w:t>
      </w:r>
    </w:p>
    <w:p>
      <w:r>
        <w:t xml:space="preserve"/>
      </w:r>
    </w:p>
    <w:p>
      <w:pPr>
        <w:spacing w:after="120" w:line="300" w:lineRule="atLeast"/>
      </w:pPr>
      <w:r>
        <w:rPr>
          <w:b/>
          <w:bCs/>
        </w:rPr>
        <w:t xml:space="preserve">Limited License to Kainam Marks. </w:t>
      </w:r>
      <w:r>
        <w:t xml:space="preserve">Solely for purposes of complying with the Powered-By Attribution requirement and for marketing materials describing the underlying technology, Kainam grants Partner a non-exclusive, non-transferable, royalty-free license during the term to use the Kainam name and logo in accordance with Kainam’s brand guidelines (as updated from time to time and made available to Partner). Partner will not modify Kainam’s marks or use them in a manner that disparages Kainam, suggests endorsement of Partner’s other products, or implies a partnership, joint venture, or other relationship beyond that of OEM supplier and OEM partner. All goodwill arising from Partner’s use of Kainam’s marks inures solely to Kainam. Partner acquires no rights in Kainam’s marks beyond the limited license in this section.</w:t>
      </w:r>
    </w:p>
    <w:p>
      <w:r>
        <w:t xml:space="preserve"/>
      </w:r>
    </w:p>
    <w:p>
      <w:pPr>
        <w:spacing w:after="120" w:line="300" w:lineRule="atLeast"/>
      </w:pPr>
      <w:r>
        <w:rPr>
          <w:b/>
          <w:bCs/>
        </w:rPr>
        <w:t xml:space="preserve">No Other Use of Kainam Marks. </w:t>
      </w:r>
      <w:r>
        <w:t xml:space="preserve">Except as expressly permitted in this section, Partner will not use Kainam’s name, logo, or other marks in the Partner Solution, in marketing materials, in domain names, in social media handles, or in any other manner without Kainam’s prior written consent.</w:t>
      </w:r>
    </w:p>
    <w:p>
      <w:r>
        <w:t xml:space="preserve"/>
      </w:r>
    </w:p>
    <w:p>
      <w:pPr>
        <w:spacing w:after="120" w:line="300" w:lineRule="atLeast"/>
      </w:pPr>
      <w:r>
        <w:rPr>
          <w:b/>
          <w:bCs/>
        </w:rPr>
        <w:t xml:space="preserve">Removal of Kainam Branding from User Interface. </w:t>
      </w:r>
      <w:r>
        <w:t xml:space="preserve">Partner is permitted to remove or replace Kainam-branded elements from the Platform user interface for purposes of producing the Partner Solution, provided the Powered-By Attribution remains as required above and the Platform’s underlying functionality is not modified.</w:t>
      </w:r>
    </w:p>
    <w:p>
      <w:pPr>
        <w:pStyle w:val="Heading1"/>
        <w:spacing w:after="160" w:before="320"/>
      </w:pPr>
      <w:r>
        <w:rPr>
          <w:rFonts w:ascii="Arial" w:cs="Arial" w:eastAsia="Arial" w:hAnsi="Arial"/>
          <w:b/>
          <w:bCs/>
          <w:color w:val="1F4E79"/>
          <w:sz w:val="28"/>
          <w:szCs w:val="28"/>
        </w:rPr>
        <w:t xml:space="preserve">Customization and Intellectual Property</w:t>
      </w:r>
    </w:p>
    <w:p>
      <w:pPr>
        <w:spacing w:after="120" w:line="300" w:lineRule="atLeast"/>
      </w:pPr>
      <w:r>
        <w:rPr>
          <w:b/>
          <w:bCs/>
        </w:rPr>
        <w:t xml:space="preserve">Partner Customizations. </w:t>
      </w:r>
      <w:r>
        <w:t xml:space="preserve">Partner may create Partner Customizations and apply them to or alongside the Platform to produce the Partner Solution. As between the Parties, Partner owns all right, title, and interest in and to Partner Customizations and Partner Branding, excluding any portion of the Platform incorporated therein. Partner Customizations may not modify the Platform’s core functionality, source code, or APIs in any way that would constitute a derivative work of the Platform.</w:t>
      </w:r>
    </w:p>
    <w:p>
      <w:r>
        <w:t xml:space="preserve"/>
      </w:r>
    </w:p>
    <w:p>
      <w:pPr>
        <w:spacing w:after="120" w:line="300" w:lineRule="atLeast"/>
      </w:pPr>
      <w:r>
        <w:rPr>
          <w:b/>
          <w:bCs/>
        </w:rPr>
        <w:t xml:space="preserve">Platform Improvements. </w:t>
      </w:r>
      <w:r>
        <w:t xml:space="preserve">As between the Parties, Kainam owns all right, title, and interest in and to the Platform and any improvements, modifications, enhancements, bug fixes, or derivative works of the Platform, regardless of who conceives or develops them. If Partner conceives, develops, or contributes any improvement, modification, or enhancement to the Platform itself (as opposed to a Partner Customization), Partner hereby assigns to Kainam all right, title, and interest therein, and will execute reasonable documents to perfect such assignment.</w:t>
      </w:r>
    </w:p>
    <w:p>
      <w:r>
        <w:t xml:space="preserve"/>
      </w:r>
    </w:p>
    <w:p>
      <w:pPr>
        <w:spacing w:after="120" w:line="300" w:lineRule="atLeast"/>
      </w:pPr>
      <w:r>
        <w:rPr>
          <w:b/>
          <w:bCs/>
        </w:rPr>
        <w:t xml:space="preserve">Feedback. </w:t>
      </w:r>
      <w:r>
        <w:t xml:space="preserve">Any feedback, suggestions, or ideas Partner or its End Customers provide regarding the Platform may be used by Kainam without restriction or compensation.</w:t>
      </w:r>
    </w:p>
    <w:p>
      <w:r>
        <w:t xml:space="preserve"/>
      </w:r>
    </w:p>
    <w:p>
      <w:pPr>
        <w:spacing w:after="120" w:line="300" w:lineRule="atLeast"/>
      </w:pPr>
      <w:r>
        <w:rPr>
          <w:b/>
          <w:bCs/>
        </w:rPr>
        <w:t xml:space="preserve">No Rights to Source Code. </w:t>
      </w:r>
      <w:r>
        <w:t xml:space="preserve">This Agreement does not grant Partner any right to the source code of the Platform, except as expressly provided under the Source Code Escrow section, if applicable.</w:t>
      </w:r>
    </w:p>
    <w:p>
      <w:pPr>
        <w:pStyle w:val="Heading1"/>
        <w:spacing w:after="160" w:before="320"/>
      </w:pPr>
      <w:r>
        <w:rPr>
          <w:rFonts w:ascii="Arial" w:cs="Arial" w:eastAsia="Arial" w:hAnsi="Arial"/>
          <w:b/>
          <w:bCs/>
          <w:color w:val="1F4E79"/>
          <w:sz w:val="28"/>
          <w:szCs w:val="28"/>
        </w:rPr>
        <w:t xml:space="preserve">End Customer Agreements</w:t>
      </w:r>
    </w:p>
    <w:p>
      <w:pPr>
        <w:spacing w:after="120" w:line="300" w:lineRule="atLeast"/>
      </w:pPr>
      <w:r>
        <w:t xml:space="preserve">Partner is solely responsible for entering into a written End Customer Agreement with each End Customer prior to providing such End Customer with access to the Partner Solution. Each End Customer Agreement must, at a minimum:</w:t>
      </w:r>
    </w:p>
    <w:p>
      <w:pPr>
        <w:pStyle w:val="ListParagraph"/>
        <w:numPr>
          <w:ilvl w:val="0"/>
          <w:numId w:val="2"/>
        </w:numPr>
        <w:spacing w:after="100" w:line="300" w:lineRule="atLeast"/>
      </w:pPr>
      <w:r>
        <w:t xml:space="preserve">Grant the End Customer no greater rights to the Platform (as embedded in the Partner Solution) than those granted to Partner under this Agreement;</w:t>
      </w:r>
    </w:p>
    <w:p>
      <w:pPr>
        <w:pStyle w:val="ListParagraph"/>
        <w:numPr>
          <w:ilvl w:val="0"/>
          <w:numId w:val="2"/>
        </w:numPr>
        <w:spacing w:after="100" w:line="300" w:lineRule="atLeast"/>
      </w:pPr>
      <w:r>
        <w:t xml:space="preserve">Disclaim warranties and limit Kainam’s liability to the End Customer to the same or greater extent as set forth in this Agreement, and name Kainam as a third-party beneficiary of those provisions;</w:t>
      </w:r>
    </w:p>
    <w:p>
      <w:pPr>
        <w:pStyle w:val="ListParagraph"/>
        <w:numPr>
          <w:ilvl w:val="0"/>
          <w:numId w:val="2"/>
        </w:numPr>
        <w:spacing w:after="100" w:line="300" w:lineRule="atLeast"/>
      </w:pPr>
      <w:r>
        <w:t xml:space="preserve">Prohibit reverse engineering, modification, derivative works, and any use of the Partner Solution to develop a product that competes with the Platform;</w:t>
      </w:r>
    </w:p>
    <w:p>
      <w:pPr>
        <w:pStyle w:val="ListParagraph"/>
        <w:numPr>
          <w:ilvl w:val="0"/>
          <w:numId w:val="2"/>
        </w:numPr>
        <w:spacing w:after="100" w:line="300" w:lineRule="atLeast"/>
      </w:pPr>
      <w:r>
        <w:t xml:space="preserve">Require the End Customer to comply with all applicable laws, including export control, data protection, and anti-discrimination laws;</w:t>
      </w:r>
    </w:p>
    <w:p>
      <w:pPr>
        <w:pStyle w:val="ListParagraph"/>
        <w:numPr>
          <w:ilvl w:val="0"/>
          <w:numId w:val="2"/>
        </w:numPr>
        <w:spacing w:after="100" w:line="300" w:lineRule="atLeast"/>
      </w:pPr>
      <w:r>
        <w:t xml:space="preserve">Acknowledge that the Partner Solution incorporates AI/ML technologies and that AI-generated outputs may not be error-free, requiring End Customer review of critical outputs;</w:t>
      </w:r>
    </w:p>
    <w:p>
      <w:pPr>
        <w:pStyle w:val="ListParagraph"/>
        <w:numPr>
          <w:ilvl w:val="0"/>
          <w:numId w:val="2"/>
        </w:numPr>
        <w:spacing w:after="100" w:line="300" w:lineRule="atLeast"/>
      </w:pPr>
      <w:r>
        <w:t xml:space="preserve">Permit Partner (and Kainam, as applicable) to suspend or terminate the End Customer’s access in the event of material breach, non-payment, or activity that threatens the security or integrity of the Platform;</w:t>
      </w:r>
    </w:p>
    <w:p>
      <w:pPr>
        <w:pStyle w:val="ListParagraph"/>
        <w:numPr>
          <w:ilvl w:val="0"/>
          <w:numId w:val="2"/>
        </w:numPr>
        <w:spacing w:after="100" w:line="300" w:lineRule="atLeast"/>
      </w:pPr>
      <w:r>
        <w:t xml:space="preserve">Include data protection terms sufficient to permit lawful processing of End Customer Data, including a data processing agreement where required by applicable law; and</w:t>
      </w:r>
    </w:p>
    <w:p>
      <w:pPr>
        <w:pStyle w:val="ListParagraph"/>
        <w:numPr>
          <w:ilvl w:val="0"/>
          <w:numId w:val="2"/>
        </w:numPr>
        <w:spacing w:after="100" w:line="300" w:lineRule="atLeast"/>
      </w:pPr>
      <w:r>
        <w:t xml:space="preserve">Acknowledge that the Partner Solution is licensed, not sold, and that ownership of the underlying Platform remains with the licensor (it is acceptable for the End Customer Agreement to identify Partner as the licensor, with the underlying technology described as Partner’s or its licensors’).</w:t>
      </w:r>
    </w:p>
    <w:p>
      <w:r>
        <w:t xml:space="preserve"/>
      </w:r>
    </w:p>
    <w:p>
      <w:pPr>
        <w:spacing w:after="120" w:line="300" w:lineRule="atLeast"/>
      </w:pPr>
      <w:r>
        <w:t xml:space="preserve">Upon Kainam’s reasonable request, Partner will provide a redacted form of its End Customer Agreement for verification of compliance with this section. Kainam may, from time to time, provide Partner with a recommended End Customer Agreement template; Partner is not required to use the template, but its End Customer Agreements must satisfy the minimum requirements above.</w:t>
      </w:r>
    </w:p>
    <w:p>
      <w:r>
        <w:t xml:space="preserve"/>
      </w:r>
    </w:p>
    <w:p>
      <w:pPr>
        <w:spacing w:after="120" w:line="300" w:lineRule="atLeast"/>
      </w:pPr>
      <w:r>
        <w:rPr>
          <w:b/>
          <w:bCs/>
        </w:rPr>
        <w:t xml:space="preserve">Pass-Through of AUP. </w:t>
      </w:r>
      <w:r>
        <w:t xml:space="preserve">Partner will require each End Customer to comply with Kainam’s Acceptable Use Policy, available at https://kainam.ai/aup and as updated from time to time, including by incorporating its requirements into each End Customer Agreement (or by reference where permitted by applicable law). Partner is also directly bound by the Acceptable Use Policy with respect to its own use of the Platform. Partner will promptly notify Kainam of any End Customer breach of the Acceptable Use Policy that materially affects the security, availability, or integrity of the Platform.</w:t>
      </w:r>
    </w:p>
    <w:p>
      <w:r>
        <w:t xml:space="preserve"/>
      </w:r>
    </w:p>
    <w:p>
      <w:pPr>
        <w:spacing w:after="120" w:line="300" w:lineRule="atLeast"/>
      </w:pPr>
      <w:r>
        <w:rPr>
          <w:b/>
          <w:bCs/>
        </w:rPr>
        <w:t xml:space="preserve">End Customer Service Levels. </w:t>
      </w:r>
      <w:r>
        <w:t xml:space="preserve">Any service-level commitments Partner makes to End Customers regarding the Partner Solution must not exceed the service levels Kainam provides to Partner under this Agreement. Partner is solely responsible to End Customers for any service-level commitment that exceeds those provided by Kainam.</w:t>
      </w:r>
    </w:p>
    <w:p>
      <w:pPr>
        <w:pStyle w:val="Heading1"/>
        <w:spacing w:after="160" w:before="320"/>
      </w:pPr>
      <w:r>
        <w:rPr>
          <w:rFonts w:ascii="Arial" w:cs="Arial" w:eastAsia="Arial" w:hAnsi="Arial"/>
          <w:b/>
          <w:bCs/>
          <w:color w:val="1F4E79"/>
          <w:sz w:val="28"/>
          <w:szCs w:val="28"/>
        </w:rPr>
        <w:t xml:space="preserve">Artificial Intelligence Functionality</w:t>
      </w:r>
    </w:p>
    <w:p>
      <w:pPr>
        <w:spacing w:after="120" w:line="300" w:lineRule="atLeast"/>
      </w:pPr>
      <w:r>
        <w:t xml:space="preserve">The Platform incorporates artificial intelligence ("AI") and machine learning ("ML") technologies to provide certain features and functionalities.</w:t>
      </w:r>
    </w:p>
    <w:p>
      <w:pPr>
        <w:pStyle w:val="ListParagraph"/>
        <w:numPr>
          <w:ilvl w:val="0"/>
          <w:numId w:val="2"/>
        </w:numPr>
        <w:spacing w:after="100" w:line="300" w:lineRule="atLeast"/>
      </w:pPr>
      <w:r>
        <w:t xml:space="preserve">Kainam will disclose, upon request, the nature of AI features and the extent to which automated decision-making is involved.</w:t>
      </w:r>
    </w:p>
    <w:p>
      <w:pPr>
        <w:pStyle w:val="ListParagraph"/>
        <w:numPr>
          <w:ilvl w:val="0"/>
          <w:numId w:val="2"/>
        </w:numPr>
        <w:spacing w:after="100" w:line="300" w:lineRule="atLeast"/>
      </w:pPr>
      <w:r>
        <w:t xml:space="preserve">Kainam will not use End Customer Data to train AI models that are made available to third parties without the applicable End Customer’s prior written consent (which Partner is responsible for obtaining where required). Kainam may, however, use de-identified, aggregated, or anonymized data derived from Platform usage to operate, maintain, secure, analyze, and improve the Platform and its underlying models, provided such data does not identify the End Customer or any individual and cannot reasonably be used to do so. Any model improvements derived from such use are the property of Kainam.</w:t>
      </w:r>
    </w:p>
    <w:p>
      <w:pPr>
        <w:pStyle w:val="ListParagraph"/>
        <w:numPr>
          <w:ilvl w:val="0"/>
          <w:numId w:val="2"/>
        </w:numPr>
        <w:spacing w:after="100" w:line="300" w:lineRule="atLeast"/>
      </w:pPr>
      <w:r>
        <w:t xml:space="preserve">Kainam will comply with all applicable laws and regulations governing the use of AI, including data protection, privacy, and anti-discrimination laws.</w:t>
      </w:r>
    </w:p>
    <w:p>
      <w:pPr>
        <w:pStyle w:val="ListParagraph"/>
        <w:numPr>
          <w:ilvl w:val="0"/>
          <w:numId w:val="2"/>
        </w:numPr>
        <w:spacing w:after="100" w:line="300" w:lineRule="atLeast"/>
      </w:pPr>
      <w:r>
        <w:t xml:space="preserve">Partner will require each End Customer to acknowledge that AI-generated outputs may not be error-free and to review and validate critical outputs before relying on them for business decisions.</w:t>
      </w:r>
    </w:p>
    <w:p>
      <w:pPr>
        <w:pStyle w:val="ListParagraph"/>
        <w:numPr>
          <w:ilvl w:val="0"/>
          <w:numId w:val="2"/>
        </w:numPr>
        <w:spacing w:after="100" w:line="300" w:lineRule="atLeast"/>
      </w:pPr>
      <w:r>
        <w:t xml:space="preserve">Partner will not, and will require End Customers not to, use the Platform’s AI features for any unlawful, harmful, or discriminatory purpose.</w:t>
      </w:r>
    </w:p>
    <w:p>
      <w:pPr>
        <w:pStyle w:val="Heading1"/>
        <w:spacing w:after="160" w:before="320"/>
      </w:pPr>
      <w:r>
        <w:rPr>
          <w:rFonts w:ascii="Arial" w:cs="Arial" w:eastAsia="Arial" w:hAnsi="Arial"/>
          <w:b/>
          <w:bCs/>
          <w:color w:val="1F4E79"/>
          <w:sz w:val="28"/>
          <w:szCs w:val="28"/>
        </w:rPr>
        <w:t xml:space="preserve">Pricing and Wholesale Discount</w:t>
      </w:r>
    </w:p>
    <w:p>
      <w:pPr>
        <w:spacing w:after="120" w:line="300" w:lineRule="atLeast"/>
      </w:pPr>
      <w:r>
        <w:rPr>
          <w:b/>
          <w:bCs/>
        </w:rPr>
        <w:t xml:space="preserve">Wholesale Pricing Model. </w:t>
      </w:r>
      <w:r>
        <w:t xml:space="preserve">Partner purchases the Platform from Kainam at the Wholesale Price, calculated as the List Price less the Wholesale Discount specified in the Pricing Schedule attached as Exhibit A or in an applicable Order Form. Partner is solely responsible for setting its own end-customer pricing for the Partner Solution and assumes full credit risk for collection from End Customers.</w:t>
      </w:r>
    </w:p>
    <w:p>
      <w:r>
        <w:t xml:space="preserve"/>
      </w:r>
    </w:p>
    <w:p>
      <w:pPr>
        <w:spacing w:after="120" w:line="300" w:lineRule="atLeast"/>
      </w:pPr>
      <w:r>
        <w:rPr>
          <w:b/>
          <w:bCs/>
        </w:rPr>
        <w:t xml:space="preserve">List Price Changes. </w:t>
      </w:r>
      <w:r>
        <w:t xml:space="preserve">Kainam may update its List Price upon at least sixty (60) days’ prior written notice to Partner. List Price changes will not affect Order Forms already executed for the then-current term but will apply to renewals and new Order Forms.</w:t>
      </w:r>
    </w:p>
    <w:p>
      <w:r>
        <w:t xml:space="preserve"/>
      </w:r>
    </w:p>
    <w:p>
      <w:pPr>
        <w:spacing w:after="120" w:line="300" w:lineRule="atLeast"/>
      </w:pPr>
      <w:r>
        <w:rPr>
          <w:b/>
          <w:bCs/>
        </w:rPr>
        <w:t xml:space="preserve">Order Forms. </w:t>
      </w:r>
      <w:r>
        <w:t xml:space="preserve">Each Partner Solution deployment to an End Customer will be documented by an Order Form referencing this Agreement and identifying the End Customer (or, where the Partner Solution is deployed at scale, an aggregated reporting cadence acceptable to Kainam), the modules and quantities purchased, the deployment model (Kainam-hosted, Partner-hosted, or End Customer private cloud), the term, and the applicable fees.</w:t>
      </w:r>
    </w:p>
    <w:p>
      <w:r>
        <w:t xml:space="preserve"/>
      </w:r>
    </w:p>
    <w:p>
      <w:pPr>
        <w:spacing w:after="120" w:line="300" w:lineRule="atLeast"/>
      </w:pPr>
      <w:r>
        <w:rPr>
          <w:b/>
          <w:bCs/>
        </w:rPr>
        <w:t xml:space="preserve">Consumption Fees — Kainam-Hosted Deployments. </w:t>
      </w:r>
      <w:r>
        <w:t xml:space="preserve">For Kainam-hosted deployments, Kainam will invoice Partner for Consumption Fees on a quarterly basis at Kainam’s then-current consumption rates, plus a $100 per quarter processing and handling fee. Partner is responsible for billing the End Customer for consumption usage and may, in its sole discretion, mark up consumption charges to End Customers.</w:t>
      </w:r>
    </w:p>
    <w:p>
      <w:r>
        <w:t xml:space="preserve"/>
      </w:r>
    </w:p>
    <w:p>
      <w:pPr>
        <w:spacing w:after="120" w:line="300" w:lineRule="atLeast"/>
      </w:pPr>
      <w:r>
        <w:rPr>
          <w:b/>
          <w:bCs/>
        </w:rPr>
        <w:t xml:space="preserve">Consumption Fees — Partner-Hosted or Private Cloud Deployments. </w:t>
      </w:r>
      <w:r>
        <w:t xml:space="preserve">For deployments in Partner’s or an End Customer’s private cloud or other infrastructure, the Partner or End Customer is directly responsible for all underlying infrastructure and consumption costs incurred with the applicable cloud provider, and Kainam will not invoice consumption charges.</w:t>
      </w:r>
    </w:p>
    <w:p>
      <w:r>
        <w:t xml:space="preserve"/>
      </w:r>
    </w:p>
    <w:p>
      <w:pPr>
        <w:spacing w:after="120" w:line="300" w:lineRule="atLeast"/>
      </w:pPr>
      <w:r>
        <w:rPr>
          <w:b/>
          <w:bCs/>
        </w:rPr>
        <w:t xml:space="preserve">No End Customer Privity for Fees. </w:t>
      </w:r>
      <w:r>
        <w:t xml:space="preserve">Kainam invoices and looks solely to Partner for payment of all amounts under this Agreement. Partner’s obligation to pay Kainam is independent of, and not conditioned upon, payment by any End Customer.</w:t>
      </w:r>
    </w:p>
    <w:p>
      <w:pPr>
        <w:pStyle w:val="Heading1"/>
        <w:spacing w:after="160" w:before="320"/>
      </w:pPr>
      <w:r>
        <w:rPr>
          <w:rFonts w:ascii="Arial" w:cs="Arial" w:eastAsia="Arial" w:hAnsi="Arial"/>
          <w:b/>
          <w:bCs/>
          <w:color w:val="1F4E79"/>
          <w:sz w:val="28"/>
          <w:szCs w:val="28"/>
        </w:rPr>
        <w:t xml:space="preserve">Payment Terms</w:t>
      </w:r>
    </w:p>
    <w:p>
      <w:pPr>
        <w:spacing w:after="120" w:line="300" w:lineRule="atLeast"/>
      </w:pPr>
      <w:r>
        <w:t xml:space="preserve">All payments are due within thirty (30) days of the invoice date.</w:t>
      </w:r>
    </w:p>
    <w:p>
      <w:pPr>
        <w:pStyle w:val="ListParagraph"/>
        <w:numPr>
          <w:ilvl w:val="0"/>
          <w:numId w:val="2"/>
        </w:numPr>
        <w:spacing w:after="100" w:line="300" w:lineRule="atLeast"/>
      </w:pPr>
      <w:r>
        <w:t xml:space="preserve">If any payment is not received by the due date, Kainam may charge interest on the overdue amount at a rate of one and one-half percent (1.5%) per month (or the maximum rate permitted by law, if lower), calculated from the due date until payment is received.</w:t>
      </w:r>
    </w:p>
    <w:p>
      <w:pPr>
        <w:pStyle w:val="ListParagraph"/>
        <w:numPr>
          <w:ilvl w:val="0"/>
          <w:numId w:val="2"/>
        </w:numPr>
        <w:spacing w:after="100" w:line="300" w:lineRule="atLeast"/>
      </w:pPr>
      <w:r>
        <w:t xml:space="preserve">If any undisputed amount remains unpaid more than thirty (30) days past its due date, Kainam may, upon ten (10) days’ prior written notice and a failure to cure within that period, suspend Partner’s ability to provision new End Customers and, after an additional thirty (30) days, suspend Partner’s and End Customers’ access to the Platform until all outstanding amounts are paid in full.</w:t>
      </w:r>
    </w:p>
    <w:p>
      <w:pPr>
        <w:pStyle w:val="ListParagraph"/>
        <w:numPr>
          <w:ilvl w:val="0"/>
          <w:numId w:val="2"/>
        </w:numPr>
        <w:spacing w:after="100" w:line="300" w:lineRule="atLeast"/>
      </w:pPr>
      <w:r>
        <w:t xml:space="preserve">Partner shall reimburse Kainam for all reasonable costs incurred in collecting overdue payments, including legal fees.</w:t>
      </w:r>
    </w:p>
    <w:p>
      <w:r>
        <w:t xml:space="preserve"/>
      </w:r>
    </w:p>
    <w:p>
      <w:pPr>
        <w:spacing w:after="120" w:line="300" w:lineRule="atLeast"/>
      </w:pPr>
      <w:r>
        <w:t xml:space="preserve">Payment is by wire transfer and Partner pays all transfer fees. Wire transfer instructions will be provided on each invoice issued to Partner. Please include your company name and invoice number as the payment reference. To verify the authenticity of any wire instructions, contact Kainam Accounts Receivable at AR@Kainam.ai using contact information from a prior verified communication or from https://kainam.ai. Kainam will never request payment to a new or changed account without separate written confirmation from an authorized Kainam representative.</w:t>
      </w:r>
    </w:p>
    <w:p>
      <w:pPr>
        <w:pStyle w:val="Heading1"/>
        <w:spacing w:after="160" w:before="320"/>
      </w:pPr>
      <w:r>
        <w:rPr>
          <w:rFonts w:ascii="Arial" w:cs="Arial" w:eastAsia="Arial" w:hAnsi="Arial"/>
          <w:b/>
          <w:bCs/>
          <w:color w:val="1F4E79"/>
          <w:sz w:val="28"/>
          <w:szCs w:val="28"/>
        </w:rPr>
        <w:t xml:space="preserve">Services and Support</w:t>
      </w:r>
    </w:p>
    <w:p>
      <w:pPr>
        <w:spacing w:after="120" w:line="300" w:lineRule="atLeast"/>
      </w:pPr>
      <w:r>
        <w:t xml:space="preserve">Kainam will provide the Platform via the internet (for Kainam-hosted deployments) or via deployment packages (for Partner-hosted or End Customer private cloud deployments). Kainam will use commercially reasonable efforts to maintain 99% uptime for the Kainam-hosted Platform, excluding scheduled maintenance and events beyond its control.</w:t>
      </w:r>
    </w:p>
    <w:p>
      <w:r>
        <w:t xml:space="preserve"/>
      </w:r>
    </w:p>
    <w:p>
      <w:pPr>
        <w:spacing w:after="120" w:line="300" w:lineRule="atLeast"/>
      </w:pPr>
      <w:r>
        <w:rPr>
          <w:b/>
          <w:bCs/>
        </w:rPr>
        <w:t xml:space="preserve">Tiered Support Model. </w:t>
      </w:r>
      <w:r>
        <w:t xml:space="preserve">Partner is responsible for providing Tier 1 and Tier 2 support to End Customers under the Partner Solution branding. Kainam is responsible for providing Tier 3 (back-end) support to Partner only. Partner will not direct End Customers to contact Kainam for support, and Kainam is under no obligation to provide support directly to any End Customer. End Customers should not be made aware that Kainam is the underlying support provider beyond the Powered-By Attribution.</w:t>
      </w:r>
    </w:p>
    <w:p>
      <w:r>
        <w:t xml:space="preserve"/>
      </w:r>
    </w:p>
    <w:p>
      <w:pPr>
        <w:spacing w:after="120" w:line="300" w:lineRule="atLeast"/>
      </w:pPr>
      <w:r>
        <w:t xml:space="preserve">For purposes of this Agreement:</w:t>
      </w:r>
    </w:p>
    <w:p>
      <w:pPr>
        <w:pStyle w:val="ListParagraph"/>
        <w:numPr>
          <w:ilvl w:val="0"/>
          <w:numId w:val="2"/>
        </w:numPr>
        <w:spacing w:after="100" w:line="300" w:lineRule="atLeast"/>
      </w:pPr>
      <w:r>
        <w:t xml:space="preserve">Tier 1 (Partner) covers initial customer contact, basic troubleshooting, account and login assistance, configuration questions, and triage.</w:t>
      </w:r>
    </w:p>
    <w:p>
      <w:pPr>
        <w:pStyle w:val="ListParagraph"/>
        <w:numPr>
          <w:ilvl w:val="0"/>
          <w:numId w:val="2"/>
        </w:numPr>
        <w:spacing w:after="100" w:line="300" w:lineRule="atLeast"/>
      </w:pPr>
      <w:r>
        <w:t xml:space="preserve">Tier 2 (Partner) covers advanced troubleshooting, workflow and integration issues, and reproducing issues in test environments.</w:t>
      </w:r>
    </w:p>
    <w:p>
      <w:pPr>
        <w:pStyle w:val="ListParagraph"/>
        <w:numPr>
          <w:ilvl w:val="0"/>
          <w:numId w:val="2"/>
        </w:numPr>
        <w:spacing w:after="100" w:line="300" w:lineRule="atLeast"/>
      </w:pPr>
      <w:r>
        <w:t xml:space="preserve">Tier 3 (Kainam) covers Platform defects, infrastructure issues, security investigations, and items requiring access to Platform source code or production systems.</w:t>
      </w:r>
    </w:p>
    <w:p>
      <w:r>
        <w:t xml:space="preserve"/>
      </w:r>
    </w:p>
    <w:p>
      <w:pPr>
        <w:spacing w:after="120" w:line="300" w:lineRule="atLeast"/>
      </w:pPr>
      <w:r>
        <w:t xml:space="preserve">Partner will log Tier 3 escalations via Kainam’s Jira ticketing system. Kainam will provide updates and resolutions through that system. Both Parties will respond to tickets in accordance with mutually agreed service levels. Partner will be assigned support credentials for designated technical personnel.</w:t>
      </w:r>
    </w:p>
    <w:p>
      <w:r>
        <w:t xml:space="preserve"/>
      </w:r>
    </w:p>
    <w:p>
      <w:pPr>
        <w:spacing w:after="120" w:line="300" w:lineRule="atLeast"/>
      </w:pPr>
      <w:r>
        <w:rPr>
          <w:b/>
          <w:bCs/>
        </w:rPr>
        <w:t xml:space="preserve">Partner Enablement. </w:t>
      </w:r>
      <w:r>
        <w:t xml:space="preserve">Kainam will provide reasonable training, documentation, and enablement materials to support Partner’s development of the Partner Solution and its sales and support obligations. Partner will ensure its personnel completing customer-facing or support roles complete any required Kainam training prior to performing those roles.</w:t>
      </w:r>
    </w:p>
    <w:p>
      <w:pPr>
        <w:pStyle w:val="Heading1"/>
        <w:spacing w:after="160" w:before="320"/>
      </w:pPr>
      <w:r>
        <w:rPr>
          <w:rFonts w:ascii="Arial" w:cs="Arial" w:eastAsia="Arial" w:hAnsi="Arial"/>
          <w:b/>
          <w:bCs/>
          <w:color w:val="1F4E79"/>
          <w:sz w:val="28"/>
          <w:szCs w:val="28"/>
        </w:rPr>
        <w:t xml:space="preserve">Data Ownership, Security and Privacy</w:t>
      </w:r>
    </w:p>
    <w:p>
      <w:pPr>
        <w:spacing w:after="120" w:line="300" w:lineRule="atLeast"/>
      </w:pPr>
      <w:r>
        <w:rPr>
          <w:b/>
          <w:bCs/>
        </w:rPr>
        <w:t xml:space="preserve">Data Roles. </w:t>
      </w:r>
      <w:r>
        <w:t xml:space="preserve">As between Kainam and Partner with respect to End Customer Data, Partner is the data controller (or, where the End Customer is the controller under applicable law, the data processor), and Kainam acts as a sub-processor. Partner is responsible for ensuring that its End Customer Agreements clearly establish data controller and processor roles between Partner and the End Customer, and for ensuring that all required data processing agreements are in place to permit lawful processing of End Customer Data through the Partner Solution.</w:t>
      </w:r>
    </w:p>
    <w:p>
      <w:r>
        <w:t xml:space="preserve"/>
      </w:r>
    </w:p>
    <w:p>
      <w:pPr>
        <w:spacing w:after="120" w:line="300" w:lineRule="atLeast"/>
      </w:pPr>
      <w:r>
        <w:t xml:space="preserve">As between Kainam and Partner, the applicable End Customer (or Partner, where Partner is the controller of End Customer Data) owns all End Customer Data. Partner does not acquire ownership of End Customer Data through this Agreement. Kainam will process End Customer Data solely as necessary to provide the Platform and as instructed by Partner or the End Customer through use of the Partner Solution.</w:t>
      </w:r>
    </w:p>
    <w:p>
      <w:r>
        <w:t xml:space="preserve"/>
      </w:r>
    </w:p>
    <w:p>
      <w:pPr>
        <w:spacing w:after="120" w:line="300" w:lineRule="atLeast"/>
      </w:pPr>
      <w:r>
        <w:t xml:space="preserve">Upon request or termination of an End Customer’s subscription, the applicable End Customer (through Partner) may export End Customer Data in a standard format; Kainam will assist for up to thirty (30) days after termination of the End Customer’s subscription. Following the expiration of the export period, Kainam will delete or anonymize End Customer Data from its production systems within sixty (60) days, except to the extent retention is required by applicable law or for backup, archival, or audit purposes (in which case the data will remain subject to the confidentiality and security obligations of this Agreement until deleted in the ordinary course). Upon written request, Kainam will provide written confirmation of deletion.</w:t>
      </w:r>
    </w:p>
    <w:p>
      <w:r>
        <w:t xml:space="preserve"/>
      </w:r>
    </w:p>
    <w:p>
      <w:pPr>
        <w:spacing w:after="120" w:line="300" w:lineRule="atLeast"/>
      </w:pPr>
      <w:r>
        <w:t xml:space="preserve">Kainam will comply with applicable data protection laws (including GDPR and HIPAA, where relevant). For Partner-hosted or private cloud deployments, the Partner or End Customer is responsible for daily backups. Kainam is not liable for data loss due to End Customer or Partner misuse, third-party outages outside Kainam’s reasonable control, or viruses or malicious code introduced through Partner or End Customer systems or End Customer Data.</w:t>
      </w:r>
    </w:p>
    <w:p>
      <w:r>
        <w:t xml:space="preserve"/>
      </w:r>
    </w:p>
    <w:p>
      <w:pPr>
        <w:pStyle w:val="ListParagraph"/>
        <w:numPr>
          <w:ilvl w:val="0"/>
          <w:numId w:val="2"/>
        </w:numPr>
        <w:spacing w:after="100" w:line="300" w:lineRule="atLeast"/>
      </w:pPr>
      <w:r>
        <w:t xml:space="preserve">Kainam will implement appropriate technical and organizational measures to safeguard End Customer Data against unauthorized access, loss, or disclosure.</w:t>
      </w:r>
    </w:p>
    <w:p>
      <w:pPr>
        <w:pStyle w:val="ListParagraph"/>
        <w:numPr>
          <w:ilvl w:val="0"/>
          <w:numId w:val="2"/>
        </w:numPr>
        <w:spacing w:after="100" w:line="300" w:lineRule="atLeast"/>
      </w:pPr>
      <w:r>
        <w:t xml:space="preserve">In the event of a data breach affecting End Customer Data, Kainam will notify Partner without undue delay and cooperate fully in any required investigation or remediation. Partner is responsible for notifying affected End Customers and any regulatory authorities as required by applicable law, and for managing all communications with End Customers.</w:t>
      </w:r>
    </w:p>
    <w:p>
      <w:pPr>
        <w:pStyle w:val="ListParagraph"/>
        <w:numPr>
          <w:ilvl w:val="0"/>
          <w:numId w:val="2"/>
        </w:numPr>
        <w:spacing w:after="100" w:line="300" w:lineRule="atLeast"/>
      </w:pPr>
      <w:r>
        <w:t xml:space="preserve">Upon request, Kainam will enter into a Data Processing Agreement (DPA) with Partner reflecting Kainam’s sub-processor role. Where Kainam engages further sub-processors to provide the Platform, Kainam will maintain a list of such sub-processors and provide reasonable notice of changes.</w:t>
      </w:r>
    </w:p>
    <w:p>
      <w:pPr>
        <w:pStyle w:val="ListParagraph"/>
        <w:numPr>
          <w:ilvl w:val="0"/>
          <w:numId w:val="2"/>
        </w:numPr>
        <w:spacing w:after="100" w:line="300" w:lineRule="atLeast"/>
      </w:pPr>
      <w:r>
        <w:t xml:space="preserve">Kainam will not transfer End Customer Data outside the jurisdiction specified by the Partner or End Customer without prior written consent, except as required by law.</w:t>
      </w:r>
    </w:p>
    <w:p>
      <w:pPr>
        <w:pStyle w:val="ListParagraph"/>
        <w:numPr>
          <w:ilvl w:val="0"/>
          <w:numId w:val="2"/>
        </w:numPr>
        <w:spacing w:after="100" w:line="300" w:lineRule="atLeast"/>
      </w:pPr>
      <w:r>
        <w:t xml:space="preserve">Kainam will assist Partner in responding to data subject requests and regulatory inquiries related to the Platform, in a manner consistent with Kainam’s sub-processor role.</w:t>
      </w:r>
    </w:p>
    <w:p>
      <w:pPr>
        <w:pStyle w:val="Heading1"/>
        <w:spacing w:after="160" w:before="320"/>
      </w:pPr>
      <w:r>
        <w:rPr>
          <w:rFonts w:ascii="Arial" w:cs="Arial" w:eastAsia="Arial" w:hAnsi="Arial"/>
          <w:b/>
          <w:bCs/>
          <w:color w:val="1F4E79"/>
          <w:sz w:val="28"/>
          <w:szCs w:val="28"/>
        </w:rPr>
        <w:t xml:space="preserve">Source Code Escrow</w:t>
      </w:r>
    </w:p>
    <w:p>
      <w:pPr>
        <w:spacing w:after="120" w:line="300" w:lineRule="atLeast"/>
      </w:pPr>
      <w:r>
        <w:rPr>
          <w:b/>
          <w:bCs/>
        </w:rPr>
        <w:t xml:space="preserve">Availability of Escrow. </w:t>
      </w:r>
      <w:r>
        <w:t xml:space="preserve">If Partner reasonably requests in writing, Kainam agrees to negotiate in good faith to enter into a three-party source code escrow agreement with a reputable, neutral escrow agent mutually acceptable to the Parties (such as Iron Mountain or NCC Group) covering the source code, build instructions, and other materials reasonably necessary to operate and maintain the Platform.</w:t>
      </w:r>
    </w:p>
    <w:p>
      <w:r>
        <w:t xml:space="preserve"/>
      </w:r>
    </w:p>
    <w:p>
      <w:pPr>
        <w:spacing w:after="120" w:line="300" w:lineRule="atLeast"/>
      </w:pPr>
      <w:r>
        <w:rPr>
          <w:b/>
          <w:bCs/>
        </w:rPr>
        <w:t xml:space="preserve">Release Conditions. </w:t>
      </w:r>
      <w:r>
        <w:t xml:space="preserve">The escrowed materials may be released to Partner solely upon the occurrence of one or more of the following: (i) Kainam’s general assignment for the benefit of creditors, filing of a voluntary petition in bankruptcy, or appointment of a receiver or trustee that is not dismissed within sixty (60) days; (ii) Kainam’s cessation of business operations such that Kainam is no longer providing the Platform to its customers generally; or (iii) Kainam’s material breach of its obligations to provide and support the Platform under this Agreement, where such breach remains uncured ninety (90) days after written notice and is not the subject of a good-faith dispute.</w:t>
      </w:r>
    </w:p>
    <w:p>
      <w:r>
        <w:t xml:space="preserve"/>
      </w:r>
    </w:p>
    <w:p>
      <w:pPr>
        <w:spacing w:after="120" w:line="300" w:lineRule="atLeast"/>
      </w:pPr>
      <w:r>
        <w:rPr>
          <w:b/>
          <w:bCs/>
        </w:rPr>
        <w:t xml:space="preserve">License upon Release. </w:t>
      </w:r>
      <w:r>
        <w:t xml:space="preserve">Upon a valid release of escrowed materials, Kainam grants Partner a non-exclusive, non-transferable license to use, modify, and maintain the source code solely to support Partner’s active End Customers as of the date of the release event, and solely for so long as Partner continues to make commercially reasonable efforts to support those End Customers. The license does not include the right to distribute the source code or to make new sales or deployments of the Partner Solution to additional End Customers beyond those active at the date of release. All intellectual property rights in the escrowed materials remain with Kainam.</w:t>
      </w:r>
    </w:p>
    <w:p>
      <w:r>
        <w:t xml:space="preserve"/>
      </w:r>
    </w:p>
    <w:p>
      <w:pPr>
        <w:spacing w:after="120" w:line="300" w:lineRule="atLeast"/>
      </w:pPr>
      <w:r>
        <w:rPr>
          <w:b/>
          <w:bCs/>
        </w:rPr>
        <w:t xml:space="preserve">Costs. </w:t>
      </w:r>
      <w:r>
        <w:t xml:space="preserve">Unless otherwise agreed in the escrow agreement, Partner bears the cost of the escrow agent’s fees. Each Party bears its own costs of negotiating and maintaining the escrow.</w:t>
      </w:r>
    </w:p>
    <w:p>
      <w:pPr>
        <w:pStyle w:val="Heading1"/>
        <w:spacing w:after="160" w:before="320"/>
      </w:pPr>
      <w:r>
        <w:rPr>
          <w:rFonts w:ascii="Arial" w:cs="Arial" w:eastAsia="Arial" w:hAnsi="Arial"/>
          <w:b/>
          <w:bCs/>
          <w:color w:val="1F4E79"/>
          <w:sz w:val="28"/>
          <w:szCs w:val="28"/>
        </w:rPr>
        <w:t xml:space="preserve">Intellectual Property</w:t>
      </w:r>
    </w:p>
    <w:p>
      <w:pPr>
        <w:spacing w:after="120" w:line="300" w:lineRule="atLeast"/>
      </w:pPr>
      <w:r>
        <w:t xml:space="preserve">Kainam retains all right, title, and interest in and to the Platform and all related intellectual property, including any improvements, modifications, enhancements, and derivative works thereof, regardless of who develops them, except for Partner Customizations and Partner Branding which are addressed in the Customization and Intellectual Property section. Partner receives only the limited rights expressly granted in this Agreement. No rights to Kainam’s source code, trademarks, or trade secrets are transferred to Partner except as expressly stated in this Agreement.</w:t>
      </w:r>
    </w:p>
    <w:p>
      <w:pPr>
        <w:pStyle w:val="Heading1"/>
        <w:spacing w:after="160" w:before="320"/>
      </w:pPr>
      <w:r>
        <w:rPr>
          <w:rFonts w:ascii="Arial" w:cs="Arial" w:eastAsia="Arial" w:hAnsi="Arial"/>
          <w:b/>
          <w:bCs/>
          <w:color w:val="1F4E79"/>
          <w:sz w:val="28"/>
          <w:szCs w:val="28"/>
        </w:rPr>
        <w:t xml:space="preserve">Term and Termination</w:t>
      </w:r>
    </w:p>
    <w:p>
      <w:pPr>
        <w:spacing w:after="120" w:line="300" w:lineRule="atLeast"/>
      </w:pPr>
      <w:r>
        <w:t xml:space="preserve">This Agreement will begin on the date it is signed by both Parties ("Effective Date") and will continue for an initial term of XX year(s) unless terminated earlier as provided below. After the initial term, this Agreement will automatically renew for additional one-year periods unless either Party provides written notice of non-renewal at least 90 days before the end of the then-current term.</w:t>
      </w:r>
    </w:p>
    <w:p>
      <w:r>
        <w:t xml:space="preserve"/>
      </w:r>
    </w:p>
    <w:p>
      <w:pPr>
        <w:spacing w:after="120" w:line="300" w:lineRule="atLeast"/>
      </w:pPr>
      <w:r>
        <w:t xml:space="preserve">Either Party may terminate this Agreement for material breach by the other Party if such breach remains uncured thirty (30) days after written notice describing the breach in reasonable detail. Either Party may also terminate immediately upon the other Party’s insolvency, bankruptcy filing, assignment for the benefit of creditors, or cessation of business. Termination for convenience is permitted only at the end of the then-current term by providing the non-renewal notice described above; neither Party may terminate for convenience during an active term.</w:t>
      </w:r>
    </w:p>
    <w:p>
      <w:r>
        <w:t xml:space="preserve"/>
      </w:r>
    </w:p>
    <w:p>
      <w:pPr>
        <w:spacing w:after="120" w:line="300" w:lineRule="atLeast"/>
      </w:pPr>
      <w:r>
        <w:rPr>
          <w:b/>
          <w:bCs/>
        </w:rPr>
        <w:t xml:space="preserve">Effect on End Customer Agreements and Transition Assistance. </w:t>
      </w:r>
      <w:r>
        <w:t xml:space="preserve">Because End Customers under the Partner Solution may not be aware of Kainam’s role, the Parties acknowledge that termination of this Agreement requires careful management. Upon termination of this Agreement: (a) Partner’s right to enter into new End Customer Agreements under the Partner Solution ceases immediately; (b) active End Customer Agreements in effect on the date of termination will continue until their natural expiration (but in any event for no more than twenty-four (24) months following termination), provided Partner remains in compliance with this Agreement and continues to pay all Wholesale Price and Consumption Fees as they come due; and (c) Kainam will provide reasonable transition assistance for up to one hundred eighty (180) days following termination of the affected End Customer subscription, including data export, technical handoff to a successor system selected by Partner or the End Customer, and reasonable cooperation with End Customer communications.</w:t>
      </w:r>
    </w:p>
    <w:p>
      <w:r>
        <w:t xml:space="preserve"/>
      </w:r>
    </w:p>
    <w:p>
      <w:pPr>
        <w:spacing w:after="120" w:line="300" w:lineRule="atLeast"/>
      </w:pPr>
      <w:r>
        <w:rPr>
          <w:b/>
          <w:bCs/>
        </w:rPr>
        <w:t xml:space="preserve">Notice to End Customers. </w:t>
      </w:r>
      <w:r>
        <w:t xml:space="preserve">If termination of this Agreement results in the discontinuation or material change of the Partner Solution, Partner will notify affected End Customers reasonably in advance and in compliance with Partner’s obligations to End Customers. Kainam will not contact End Customers directly in connection with such termination except (i) with Partner’s prior written consent, (ii) as required by applicable law, or (iii) where Partner is in material breach of its obligations to support End Customers and Kainam reasonably determines that direct contact is necessary to protect End Customer interests.</w:t>
      </w:r>
    </w:p>
    <w:p>
      <w:r>
        <w:t xml:space="preserve"/>
      </w:r>
    </w:p>
    <w:p>
      <w:pPr>
        <w:spacing w:after="120" w:line="300" w:lineRule="atLeast"/>
      </w:pPr>
      <w:r>
        <w:t xml:space="preserve">Upon termination, all rights and obligations end except those meant to survive (including confidentiality, payment for services already provided, intellectual property, indemnification, limitations of liability, and the source code escrow license, if released).</w:t>
      </w:r>
    </w:p>
    <w:p>
      <w:pPr>
        <w:pStyle w:val="Heading1"/>
        <w:spacing w:after="160" w:before="320"/>
      </w:pPr>
      <w:r>
        <w:rPr>
          <w:rFonts w:ascii="Arial" w:cs="Arial" w:eastAsia="Arial" w:hAnsi="Arial"/>
          <w:b/>
          <w:bCs/>
          <w:color w:val="1F4E79"/>
          <w:sz w:val="28"/>
          <w:szCs w:val="28"/>
        </w:rPr>
        <w:t xml:space="preserve">Confidentiality</w:t>
      </w:r>
    </w:p>
    <w:p>
      <w:pPr>
        <w:spacing w:after="120" w:line="300" w:lineRule="atLeast"/>
      </w:pPr>
      <w:r>
        <w:t xml:space="preserve">Both Parties must keep confidential information private for five years after disclosure, or as long as it remains a trade secret. Exceptions apply for information that is public, independently developed, or required to be disclosed by law. Partner will treat End Customer Data and identities of End Customers as Confidential Information for purposes of regulatory and competitive disclosure protections. Kainam will treat the existence and terms of this Agreement, the identity of End Customers reported to Kainam, and Partner’s product roadmap or pricing information as Partner Confidential Information.</w:t>
      </w:r>
    </w:p>
    <w:p>
      <w:pPr>
        <w:pStyle w:val="Heading1"/>
        <w:spacing w:after="160" w:before="320"/>
      </w:pPr>
      <w:r>
        <w:rPr>
          <w:rFonts w:ascii="Arial" w:cs="Arial" w:eastAsia="Arial" w:hAnsi="Arial"/>
          <w:b/>
          <w:bCs/>
          <w:color w:val="1F4E79"/>
          <w:sz w:val="28"/>
          <w:szCs w:val="28"/>
        </w:rPr>
        <w:t xml:space="preserve">Limitation of Liability and Indemnification</w:t>
      </w:r>
    </w:p>
    <w:p>
      <w:pPr>
        <w:spacing w:after="120" w:line="300" w:lineRule="atLeast"/>
      </w:pPr>
      <w:r>
        <w:rPr>
          <w:b/>
          <w:bCs/>
        </w:rPr>
        <w:t xml:space="preserve">Warranty Disclaimer. </w:t>
      </w:r>
      <w:r>
        <w:t xml:space="preserve">Except as expressly stated in this Agreement, the Platform is provided "AS IS" and "AS AVAILABLE." Kainam disclaims all other warranties, whether express, implied, or statutory, including without limitation any implied warranties of merchantability, fitness for a particular purpose, title, non-infringement, accuracy, and any warranties arising from course of dealing or usage of trade. Kainam does not warrant that the Platform will be uninterrupted, error-free, or that all defects will be corrected. Partner will not make any warranties regarding the Platform to End Customers other than those expressly authorized in writing by Kainam, and Partner is solely responsible for any warranties Partner makes regarding the Partner Solution as a whole.</w:t>
      </w:r>
    </w:p>
    <w:p>
      <w:r>
        <w:t xml:space="preserve"/>
      </w:r>
    </w:p>
    <w:p>
      <w:pPr>
        <w:spacing w:after="120" w:line="300" w:lineRule="atLeast"/>
      </w:pPr>
      <w:r>
        <w:rPr>
          <w:b/>
          <w:bCs/>
        </w:rPr>
        <w:t xml:space="preserve">Exclusion of Damages. </w:t>
      </w:r>
      <w:r>
        <w:t xml:space="preserve">To the maximum extent permitted by applicable law, in no event will either Party be liable to the other for any indirect, incidental, special, consequential, exemplary, or punitive damages, or for any loss of profits, revenue, business, goodwill, anticipated savings, or data, arising out of or relating to this Agreement or the Platform, regardless of the form of action and whether or not such Party has been advised of the possibility of such damages.</w:t>
      </w:r>
    </w:p>
    <w:p>
      <w:r>
        <w:t xml:space="preserve"/>
      </w:r>
    </w:p>
    <w:p>
      <w:pPr>
        <w:spacing w:after="120" w:line="300" w:lineRule="atLeast"/>
      </w:pPr>
      <w:r>
        <w:rPr>
          <w:b/>
          <w:bCs/>
        </w:rPr>
        <w:t xml:space="preserve">Liability Cap. </w:t>
      </w:r>
      <w:r>
        <w:t xml:space="preserve">Each Party’s total cumulative liability arising out of or relating to this Agreement, regardless of the form of action, will not exceed the total fees paid or payable by Partner to Kainam under this Agreement during the twelve (12) months immediately preceding the event giving rise to the claim.</w:t>
      </w:r>
    </w:p>
    <w:p>
      <w:r>
        <w:t xml:space="preserve"/>
      </w:r>
    </w:p>
    <w:p>
      <w:pPr>
        <w:spacing w:after="120" w:line="300" w:lineRule="atLeast"/>
      </w:pPr>
      <w:r>
        <w:rPr>
          <w:b/>
          <w:bCs/>
        </w:rPr>
        <w:t xml:space="preserve">Exceptions to Limitations. </w:t>
      </w:r>
      <w:r>
        <w:t xml:space="preserve">The exclusions and limitations in this section do not apply to: (a) either Party’s indemnification obligations under this Agreement; (b) breach of confidentiality obligations; (c) Partner’s payment obligations; (d) either Party’s gross negligence, willful misconduct, or fraud; (e) infringement, misuse, or unauthorized use of the other Party’s intellectual property or trademarks; or (f) liabilities that cannot be limited under applicable law.</w:t>
      </w:r>
    </w:p>
    <w:p>
      <w:r>
        <w:t xml:space="preserve"/>
      </w:r>
    </w:p>
    <w:p>
      <w:pPr>
        <w:spacing w:after="120" w:line="300" w:lineRule="atLeast"/>
      </w:pPr>
      <w:r>
        <w:rPr>
          <w:b/>
          <w:bCs/>
        </w:rPr>
        <w:t xml:space="preserve">Kainam Indemnification. </w:t>
      </w:r>
      <w:r>
        <w:t xml:space="preserve">Kainam will defend Partner against any third-party claim alleging that the Platform, as provided by Kainam and used in accordance with this Agreement, infringes a valid U.S. patent, copyright, trademark, or trade secret of such third party, and will indemnify Partner against damages and costs finally awarded by a court of competent jurisdiction or agreed to in settlement, provided that Partner (i) promptly notifies Kainam in writing of the claim, (ii) gives Kainam sole control over the defense and settlement of the claim, and (iii) provides reasonable cooperation at Kainam’s expense. Kainam will have no obligation under this section to the extent the claim arises from: (1) End Customer Data or content provided by Partner or an End Customer; (2) Partner Customizations or Partner Branding, or any combination of the Platform with materials not provided by Kainam where the claim would not have arisen but for such combination or customization; (3) modifications to the Platform not made or authorized by Kainam; or (4) Partner’s or any End Customer’s use of the Platform in violation of this Agreement or applicable law. If the Platform becomes, or in Kainam’s opinion is likely to become, the subject of an infringement claim, Kainam may, at its option and expense: (A) procure for Partner the right to continue distributing the Platform; (B) modify or replace the Platform so it is non-infringing while preserving substantially equivalent functionality; or (C) if neither (A) nor (B) is commercially reasonable, terminate the affected portion of the Agreement and refund any prepaid, unused fees for the affected portion. This section states Kainam’s sole and exclusive liability, and Partner’s sole and exclusive remedy, for any claim of intellectual property infringement.</w:t>
      </w:r>
    </w:p>
    <w:p>
      <w:r>
        <w:t xml:space="preserve"/>
      </w:r>
    </w:p>
    <w:p>
      <w:pPr>
        <w:spacing w:after="120" w:line="300" w:lineRule="atLeast"/>
      </w:pPr>
      <w:r>
        <w:rPr>
          <w:b/>
          <w:bCs/>
        </w:rPr>
        <w:t xml:space="preserve">Partner Indemnification. </w:t>
      </w:r>
      <w:r>
        <w:t xml:space="preserve">Partner will defend, indemnify, and hold harmless Kainam and its affiliates, officers, directors, employees, and agents from and against any third-party claim arising out of or relating to: (i) End Customer Data or any End Customer’s use of the Partner Solution, including any claim that End Customer Data infringes or misappropriates the rights of any third party or violates applicable law; (ii) Partner Customizations or Partner Branding, including any claim that Partner Branding infringes the rights of any third party; (iii) any End Customer Agreement, including disputes between Partner and any End Customer; (iv) any representation, warranty, or commitment made by Partner regarding the Partner Solution that exceeds those expressly authorized by Kainam; (v) Partner’s breach of this Agreement, including failure to enter into compliant End Customer Agreements or failure to maintain the Powered-By Attribution; or (vi) Partner’s or any End Customer’s use of the Platform in violation of this Agreement or applicable law. Partner will pay damages and costs finally awarded against Kainam or agreed to in settlement, subject to Kainam (i) promptly notifying Partner of the claim, (ii) giving Partner sole control over the defense and settlement (provided Partner may not settle any claim without Kainam’s prior written consent if the settlement requires admission of liability or imposes any obligation on Kainam), and (iii) providing reasonable cooperation at Partner’s expense.</w:t>
      </w:r>
    </w:p>
    <w:p>
      <w:pPr>
        <w:pStyle w:val="Heading1"/>
        <w:spacing w:after="160" w:before="320"/>
      </w:pPr>
      <w:r>
        <w:rPr>
          <w:rFonts w:ascii="Arial" w:cs="Arial" w:eastAsia="Arial" w:hAnsi="Arial"/>
          <w:b/>
          <w:bCs/>
          <w:color w:val="1F4E79"/>
          <w:sz w:val="28"/>
          <w:szCs w:val="28"/>
        </w:rPr>
        <w:t xml:space="preserve">Reporting</w:t>
      </w:r>
    </w:p>
    <w:p>
      <w:pPr>
        <w:spacing w:after="120" w:line="300" w:lineRule="atLeast"/>
      </w:pPr>
      <w:r>
        <w:t xml:space="preserve">Within thirty (30) days after the end of each calendar quarter, Partner will provide Kainam with a written report identifying: (a) each new End Customer onboarded during the quarter and the country or region in which the End Customer is established; (b) each End Customer whose subscription was renewed, modified, or terminated during the quarter; (c) the modules and quantities deployed for each such End Customer; (d) the deployment model for each subscription; and (e) any other information reasonably requested by Kainam to verify Partner’s compliance with this Agreement (including with respect to export control and sanctions screening).</w:t>
      </w:r>
    </w:p>
    <w:p>
      <w:r>
        <w:t xml:space="preserve"/>
      </w:r>
    </w:p>
    <w:p>
      <w:pPr>
        <w:spacing w:after="120" w:line="300" w:lineRule="atLeast"/>
      </w:pPr>
      <w:r>
        <w:t xml:space="preserve">Kainam will treat Partner’s reports as Partner Confidential Information and will use them solely for purposes of administering this Agreement, billing, support routing, and regulatory compliance. Kainam will not use the reports to solicit End Customers directly except as expressly permitted in the Term and Termination section.</w:t>
      </w:r>
    </w:p>
    <w:p>
      <w:pPr>
        <w:pStyle w:val="Heading1"/>
        <w:spacing w:after="160" w:before="320"/>
      </w:pPr>
      <w:r>
        <w:rPr>
          <w:rFonts w:ascii="Arial" w:cs="Arial" w:eastAsia="Arial" w:hAnsi="Arial"/>
          <w:b/>
          <w:bCs/>
          <w:color w:val="1F4E79"/>
          <w:sz w:val="28"/>
          <w:szCs w:val="28"/>
        </w:rPr>
        <w:t xml:space="preserve">Audit Compliance</w:t>
      </w:r>
    </w:p>
    <w:p>
      <w:pPr>
        <w:spacing w:after="120" w:line="300" w:lineRule="atLeast"/>
      </w:pPr>
      <w:r>
        <w:t xml:space="preserve">Kainam may audit Partner’s compliance with this Agreement (including the requirements applicable to End Customer Agreements, the Powered-By Attribution, reporting, and use of Kainam’s marks) once per calendar year, upon thirty (30) days’ written notice.</w:t>
      </w:r>
    </w:p>
    <w:p>
      <w:pPr>
        <w:pStyle w:val="ListParagraph"/>
        <w:numPr>
          <w:ilvl w:val="0"/>
          <w:numId w:val="2"/>
        </w:numPr>
        <w:spacing w:after="100" w:line="300" w:lineRule="atLeast"/>
      </w:pPr>
      <w:r>
        <w:t xml:space="preserve">Audits may include review of End Customer Agreement templates, executed End Customer Agreements (which may be reasonably redacted to protect End Customer commercial terms), reporting records, the Partner Solution itself for verification of the Powered-By Attribution and other requirements, and security and data handling practices.</w:t>
      </w:r>
    </w:p>
    <w:p>
      <w:pPr>
        <w:pStyle w:val="ListParagraph"/>
        <w:numPr>
          <w:ilvl w:val="0"/>
          <w:numId w:val="2"/>
        </w:numPr>
        <w:spacing w:after="100" w:line="300" w:lineRule="atLeast"/>
      </w:pPr>
      <w:r>
        <w:t xml:space="preserve">Audits shall be conducted during normal business hours and in a manner that minimizes disruption to Partner’s operations.</w:t>
      </w:r>
    </w:p>
    <w:p>
      <w:pPr>
        <w:pStyle w:val="ListParagraph"/>
        <w:numPr>
          <w:ilvl w:val="0"/>
          <w:numId w:val="2"/>
        </w:numPr>
        <w:spacing w:after="100" w:line="300" w:lineRule="atLeast"/>
      </w:pPr>
      <w:r>
        <w:t xml:space="preserve">All information obtained during an audit shall be treated as Partner Confidential Information.</w:t>
      </w:r>
    </w:p>
    <w:p>
      <w:pPr>
        <w:pStyle w:val="ListParagraph"/>
        <w:numPr>
          <w:ilvl w:val="0"/>
          <w:numId w:val="2"/>
        </w:numPr>
        <w:spacing w:after="100" w:line="300" w:lineRule="atLeast"/>
      </w:pPr>
      <w:r>
        <w:t xml:space="preserve">If an audit reveals a material under-reporting or under-payment by Partner, Partner will promptly pay the deficiency, plus interest at the rate set forth in the Payment Terms section. If the under-payment exceeds five percent (5%) of amounts due for the audited period, Partner will also reimburse Kainam’s reasonable audit costs.</w:t>
      </w:r>
    </w:p>
    <w:p>
      <w:r>
        <w:t xml:space="preserve"/>
      </w:r>
    </w:p>
    <w:p>
      <w:pPr>
        <w:spacing w:after="120" w:line="300" w:lineRule="atLeast"/>
      </w:pPr>
      <w:r>
        <w:t xml:space="preserve">Partner may audit Kainam’s compliance with applicable data protection laws as set forth in the Data Ownership, Security and Privacy section, on the same terms as those generally available to Kainam’s direct customers.</w:t>
      </w:r>
    </w:p>
    <w:p>
      <w:pPr>
        <w:pStyle w:val="Heading1"/>
        <w:spacing w:after="160" w:before="320"/>
      </w:pPr>
      <w:r>
        <w:rPr>
          <w:rFonts w:ascii="Arial" w:cs="Arial" w:eastAsia="Arial" w:hAnsi="Arial"/>
          <w:b/>
          <w:bCs/>
          <w:color w:val="1F4E79"/>
          <w:sz w:val="28"/>
          <w:szCs w:val="28"/>
        </w:rPr>
        <w:t xml:space="preserve">Subcontractor Compliance</w:t>
      </w:r>
    </w:p>
    <w:p>
      <w:pPr>
        <w:spacing w:after="120" w:line="300" w:lineRule="atLeast"/>
      </w:pPr>
      <w:r>
        <w:t xml:space="preserve">Kainam may engage subcontractors to perform its obligations under this Agreement, provided that:</w:t>
      </w:r>
    </w:p>
    <w:p>
      <w:pPr>
        <w:pStyle w:val="ListParagraph"/>
        <w:numPr>
          <w:ilvl w:val="0"/>
          <w:numId w:val="2"/>
        </w:numPr>
        <w:spacing w:after="100" w:line="300" w:lineRule="atLeast"/>
      </w:pPr>
      <w:r>
        <w:t xml:space="preserve">Kainam remains fully responsible for the acts and omissions of its subcontractors;</w:t>
      </w:r>
    </w:p>
    <w:p>
      <w:pPr>
        <w:pStyle w:val="ListParagraph"/>
        <w:numPr>
          <w:ilvl w:val="0"/>
          <w:numId w:val="2"/>
        </w:numPr>
        <w:spacing w:after="100" w:line="300" w:lineRule="atLeast"/>
      </w:pPr>
      <w:r>
        <w:t xml:space="preserve">Kainam shall ensure that all subcontractors are bound by written agreements requiring compliance with the confidentiality, data protection, and security obligations set forth in this Agreement;</w:t>
      </w:r>
    </w:p>
    <w:p>
      <w:pPr>
        <w:pStyle w:val="ListParagraph"/>
        <w:numPr>
          <w:ilvl w:val="0"/>
          <w:numId w:val="2"/>
        </w:numPr>
        <w:spacing w:after="100" w:line="300" w:lineRule="atLeast"/>
      </w:pPr>
      <w:r>
        <w:t xml:space="preserve">Kainam will notify Partner in advance if any material portion of the services will be performed by a subcontractor;</w:t>
      </w:r>
    </w:p>
    <w:p>
      <w:pPr>
        <w:pStyle w:val="ListParagraph"/>
        <w:numPr>
          <w:ilvl w:val="0"/>
          <w:numId w:val="2"/>
        </w:numPr>
        <w:spacing w:after="100" w:line="300" w:lineRule="atLeast"/>
      </w:pPr>
      <w:r>
        <w:t xml:space="preserve">Upon reasonable request, Kainam will provide Partner with information regarding subcontractors involved in the provision of services under this Agreement; and</w:t>
      </w:r>
    </w:p>
    <w:p>
      <w:pPr>
        <w:pStyle w:val="ListParagraph"/>
        <w:numPr>
          <w:ilvl w:val="0"/>
          <w:numId w:val="2"/>
        </w:numPr>
        <w:spacing w:after="100" w:line="300" w:lineRule="atLeast"/>
      </w:pPr>
      <w:r>
        <w:t xml:space="preserve">Audit rights under this Agreement shall extend to relevant subcontractors, subject to reasonable limitations.</w:t>
      </w:r>
    </w:p>
    <w:p>
      <w:pPr>
        <w:pStyle w:val="Heading1"/>
        <w:spacing w:after="160" w:before="320"/>
      </w:pPr>
      <w:r>
        <w:rPr>
          <w:rFonts w:ascii="Arial" w:cs="Arial" w:eastAsia="Arial" w:hAnsi="Arial"/>
          <w:b/>
          <w:bCs/>
          <w:color w:val="1F4E79"/>
          <w:sz w:val="28"/>
          <w:szCs w:val="28"/>
        </w:rPr>
        <w:t xml:space="preserve">Change Management</w:t>
      </w:r>
    </w:p>
    <w:p>
      <w:pPr>
        <w:spacing w:after="120" w:line="300" w:lineRule="atLeast"/>
      </w:pPr>
      <w:r>
        <w:t xml:space="preserve">Kainam may update or modify the Platform from time to time. Kainam will provide Partner with reasonable advance notice of major changes, deprecations, or scheduled downtime that materially affect functionality or availability, so that Partner may communicate with affected End Customers and update the Partner Solution accordingly. Where reasonably practical and consistent with the operation of the Platform for other customers, Kainam will avoid changes that would require material rework of Partner Customizations without reasonable advance notice.</w:t>
      </w:r>
    </w:p>
    <w:p>
      <w:pPr>
        <w:pStyle w:val="Heading1"/>
        <w:spacing w:after="160" w:before="320"/>
      </w:pPr>
      <w:r>
        <w:rPr>
          <w:rFonts w:ascii="Arial" w:cs="Arial" w:eastAsia="Arial" w:hAnsi="Arial"/>
          <w:b/>
          <w:bCs/>
          <w:color w:val="1F4E79"/>
          <w:sz w:val="28"/>
          <w:szCs w:val="28"/>
        </w:rPr>
        <w:t xml:space="preserve">Independent Contractors and Non-Exclusivity</w:t>
      </w:r>
    </w:p>
    <w:p>
      <w:pPr>
        <w:spacing w:after="120" w:line="300" w:lineRule="atLeast"/>
      </w:pPr>
      <w:r>
        <w:t xml:space="preserve">The Parties are independent contractors. Nothing in this Agreement creates a partnership, joint venture, agency, fiduciary, or employment relationship between the Parties. Neither Party has authority to bind the other or to incur obligations on the other’s behalf. This Agreement is non-exclusive; Kainam may sell the Platform directly to end customers, may engage other resellers, distributors, OEM partners, or white-label partners in any market, vertical, or territory, and may operate competing offerings. If the Parties agree to any form of exclusivity, it must be set forth expressly in a signed amendment to this Agreement.</w:t>
      </w:r>
    </w:p>
    <w:p>
      <w:pPr>
        <w:pStyle w:val="Heading1"/>
        <w:spacing w:after="160" w:before="320"/>
      </w:pPr>
      <w:r>
        <w:rPr>
          <w:rFonts w:ascii="Arial" w:cs="Arial" w:eastAsia="Arial" w:hAnsi="Arial"/>
          <w:b/>
          <w:bCs/>
          <w:color w:val="1F4E79"/>
          <w:sz w:val="28"/>
          <w:szCs w:val="28"/>
        </w:rPr>
        <w:t xml:space="preserve">Governing Law and Miscellaneous</w:t>
      </w:r>
    </w:p>
    <w:p>
      <w:pPr>
        <w:spacing w:after="120" w:line="300" w:lineRule="atLeast"/>
      </w:pPr>
      <w:r>
        <w:t xml:space="preserve">This Agreement is governed by the laws of the State of Delaware, without regard to its conflict-of-laws principles. The Parties consent to the exclusive jurisdiction of the state and federal courts located in Delaware for any dispute arising out of or relating to this Agreement. Neither Party may assign this Agreement without the other’s prior written consent, except that either Party may assign this Agreement to a successor in connection with a merger, acquisition, or sale of substantially all of its assets, upon written notice to the other Party. This Agreement is the entire agreement between the Parties on its subject matter and supersedes all prior or contemporaneous agreements. Amendments require a writing signed by both Parties. Except as expressly stated, no third party (including any End Customer) has any rights under this Agreement. Notices must be in writing and sent to the contacts listed in the signature block, with email notice deemed received upon confirmation of receipt.</w:t>
      </w:r>
    </w:p>
    <w:p>
      <w:pPr>
        <w:pStyle w:val="Heading1"/>
        <w:spacing w:after="160" w:before="320"/>
      </w:pPr>
      <w:r>
        <w:rPr>
          <w:rFonts w:ascii="Arial" w:cs="Arial" w:eastAsia="Arial" w:hAnsi="Arial"/>
          <w:b/>
          <w:bCs/>
          <w:color w:val="1F4E79"/>
          <w:sz w:val="28"/>
          <w:szCs w:val="28"/>
        </w:rPr>
        <w:t xml:space="preserve">Force Majeure</w:t>
      </w:r>
    </w:p>
    <w:p>
      <w:pPr>
        <w:spacing w:after="120" w:line="300" w:lineRule="atLeast"/>
      </w:pPr>
      <w:r>
        <w:t xml:space="preserve">Neither Party is liable for failure to perform due to events beyond its reasonable control, including natural disasters, war, terrorism, government action, labor disputes, internet or utility failures, and pandemics. The affected Party will notify the other promptly and use reasonable efforts to resume performance.</w:t>
      </w:r>
    </w:p>
    <w:p>
      <w:pPr>
        <w:pStyle w:val="Heading1"/>
        <w:spacing w:after="160" w:before="320"/>
      </w:pPr>
      <w:r>
        <w:rPr>
          <w:rFonts w:ascii="Arial" w:cs="Arial" w:eastAsia="Arial" w:hAnsi="Arial"/>
          <w:b/>
          <w:bCs/>
          <w:color w:val="1F4E79"/>
          <w:sz w:val="28"/>
          <w:szCs w:val="28"/>
        </w:rPr>
        <w:t xml:space="preserve">Signatures and Execution</w:t>
      </w:r>
    </w:p>
    <w:p>
      <w:pPr>
        <w:spacing w:after="120" w:line="300" w:lineRule="atLeast"/>
      </w:pPr>
      <w:r>
        <w:t xml:space="preserve">This Agreement shall be effective upon execution by authorized representatives of both Parties.</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BFBFBF" w:sz="4"/>
              <w:left w:val="single" w:color="BFBFBF" w:sz="4"/>
              <w:bottom w:val="single" w:color="BFBFBF" w:sz="4"/>
              <w:right w:val="single" w:color="BFBFBF" w:sz="4"/>
            </w:tcBorders>
            <w:shd w:fill="DEEAF6" w:val="clear"/>
            <w:tcMar>
              <w:top w:type="dxa" w:w="100"/>
              <w:left w:type="dxa" w:w="140"/>
              <w:bottom w:type="dxa" w:w="100"/>
              <w:right w:type="dxa" w:w="140"/>
            </w:tcMar>
          </w:tcPr>
          <w:p>
            <w:pPr>
              <w:spacing w:after="80"/>
            </w:pPr>
            <w:r>
              <w:rPr>
                <w:b/>
                <w:bCs/>
              </w:rPr>
              <w:t xml:space="preserve">Kainam Corporation</w:t>
            </w:r>
          </w:p>
        </w:tc>
        <w:tc>
          <w:tcPr>
            <w:tcW w:type="dxa" w:w="4680"/>
            <w:tcBorders>
              <w:top w:val="single" w:color="BFBFBF" w:sz="4"/>
              <w:left w:val="single" w:color="BFBFBF" w:sz="4"/>
              <w:bottom w:val="single" w:color="BFBFBF" w:sz="4"/>
              <w:right w:val="single" w:color="BFBFBF" w:sz="4"/>
            </w:tcBorders>
            <w:shd w:fill="DEEAF6" w:val="clear"/>
            <w:tcMar>
              <w:top w:type="dxa" w:w="100"/>
              <w:left w:type="dxa" w:w="140"/>
              <w:bottom w:type="dxa" w:w="100"/>
              <w:right w:type="dxa" w:w="140"/>
            </w:tcMar>
          </w:tcPr>
          <w:p>
            <w:pPr>
              <w:spacing w:after="80"/>
            </w:pPr>
            <w:r>
              <w:rPr>
                <w:b/>
                <w:bCs/>
              </w:rPr>
              <w:t xml:space="preserve">Partner:</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Signature: _______________________</w:t>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Signature: _______________________</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Name: Louis Litrenta</w:t>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Name:</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Title: VP, Sales</w:t>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Title:</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Date:</w:t>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Date:</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Notice Address: 16192 Coastal Hwy, Lewes, DE 19958</w:t>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Legal Entity Name:</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Notice Email: legal@kainam.ai</w:t>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Notice Address:</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Notice Email:</w:t>
            </w:r>
          </w:p>
        </w:tc>
      </w:tr>
    </w:tbl>
    <w:p>
      <w:pPr>
        <w:pageBreakBefore/>
        <w:spacing w:after="240" w:before="240"/>
        <w:jc w:val="center"/>
      </w:pPr>
      <w:r>
        <w:rPr>
          <w:rFonts w:ascii="Arial" w:cs="Arial" w:eastAsia="Arial" w:hAnsi="Arial"/>
          <w:b/>
          <w:bCs/>
          <w:color w:val="1F4E79"/>
          <w:sz w:val="32"/>
          <w:szCs w:val="32"/>
        </w:rPr>
        <w:t xml:space="preserve">Exhibit A — Pricing Schedule</w:t>
      </w:r>
    </w:p>
    <w:p>
      <w:pPr>
        <w:spacing w:after="120" w:line="300" w:lineRule="atLeast"/>
      </w:pPr>
      <w:r>
        <w:rPr>
          <w:b/>
          <w:bCs/>
        </w:rPr>
        <w:t xml:space="preserve">Wholesale Discount: </w:t>
      </w:r>
      <w:r>
        <w:t xml:space="preserve">Partner shall purchase the Platform from Kainam at a discount of ____% off Kainam’s then-current List Price (the “Wholesale Discount”).</w:t>
      </w:r>
    </w:p>
    <w:p>
      <w:r>
        <w:t xml:space="preserve"/>
      </w:r>
    </w:p>
    <w:p>
      <w:pPr>
        <w:spacing w:after="120" w:line="300" w:lineRule="atLeast"/>
      </w:pPr>
      <w:r>
        <w:rPr>
          <w:b/>
          <w:bCs/>
        </w:rPr>
        <w:t xml:space="preserve">Tiered Volume Discount (optional): </w:t>
      </w:r>
      <w:r>
        <w:t xml:space="preserve">If the Parties agree, the Wholesale Discount may be tiered based on aggregate annual contract value of new End Customer subscriptions sold by Partner under the Partner Solution. Tiers, if applicable, will be specified below or in a signed amendment.</w:t>
      </w:r>
    </w:p>
    <w:p>
      <w:r>
        <w:t xml:space="preserve"/>
      </w:r>
    </w:p>
    <w:p>
      <w:pPr>
        <w:spacing w:after="120" w:line="300" w:lineRule="atLeast"/>
      </w:pPr>
      <w:r>
        <w:t xml:space="preserve">[Tier 1: $0 – $___ ACV → ___% discount]</w:t>
      </w:r>
    </w:p>
    <w:p>
      <w:pPr>
        <w:spacing w:after="120" w:line="300" w:lineRule="atLeast"/>
      </w:pPr>
      <w:r>
        <w:t xml:space="preserve">[Tier 2: $___ – $___ ACV → ___% discount]</w:t>
      </w:r>
    </w:p>
    <w:p>
      <w:pPr>
        <w:spacing w:after="120" w:line="300" w:lineRule="atLeast"/>
      </w:pPr>
      <w:r>
        <w:t xml:space="preserve">[Tier 3: $___+ ACV → ___% discount]</w:t>
      </w:r>
    </w:p>
    <w:p>
      <w:r>
        <w:t xml:space="preserve"/>
      </w:r>
    </w:p>
    <w:p>
      <w:pPr>
        <w:spacing w:after="120" w:line="300" w:lineRule="atLeast"/>
      </w:pPr>
      <w:r>
        <w:rPr>
          <w:b/>
          <w:bCs/>
        </w:rPr>
        <w:t xml:space="preserve">Consumption Rates: </w:t>
      </w:r>
      <w:r>
        <w:t xml:space="preserve">Kainam’s then-current consumption rates apply for Kainam-hosted deployments, plus the $100 per quarter processing and handling fee. Current rates will be provided by Kainam upon request and may be updated as set forth in the Pricing and Wholesale Discount section of the Agreement.</w:t>
      </w:r>
    </w:p>
    <w:p>
      <w:r>
        <w:t xml:space="preserve"/>
      </w:r>
    </w:p>
    <w:p>
      <w:pPr>
        <w:spacing w:after="120" w:line="300" w:lineRule="atLeast"/>
      </w:pPr>
      <w:r>
        <w:rPr>
          <w:b/>
          <w:bCs/>
        </w:rPr>
        <w:t xml:space="preserve">Minimum Commitment (optional): </w:t>
      </w:r>
      <w:r>
        <w:t xml:space="preserve">[None / Annual minimum of $___ in Wholesale Price purchases].</w:t>
      </w:r>
    </w:p>
    <w:p>
      <w:pPr>
        <w:pageBreakBefore/>
        <w:spacing w:after="240" w:before="240"/>
        <w:jc w:val="center"/>
      </w:pPr>
      <w:r>
        <w:rPr>
          <w:rFonts w:ascii="Arial" w:cs="Arial" w:eastAsia="Arial" w:hAnsi="Arial"/>
          <w:b/>
          <w:bCs/>
          <w:color w:val="1F4E79"/>
          <w:sz w:val="32"/>
          <w:szCs w:val="32"/>
        </w:rPr>
        <w:t xml:space="preserve">Exhibit B — Branding and Attribution Specifications</w:t>
      </w:r>
    </w:p>
    <w:p>
      <w:pPr>
        <w:spacing w:after="120" w:line="300" w:lineRule="atLeast"/>
      </w:pPr>
      <w:r>
        <w:rPr>
          <w:b/>
          <w:bCs/>
        </w:rPr>
        <w:t xml:space="preserve">Powered-By Attribution — Required Form. </w:t>
      </w:r>
      <w:r>
        <w:t xml:space="preserve">The required attribution shall read "Powered by Kainam" or such other form as mutually approved by the Parties in writing. The attribution may include the Kainam logo, used in accordance with Kainam’s brand guidelines.</w:t>
      </w:r>
    </w:p>
    <w:p>
      <w:r>
        <w:t xml:space="preserve"/>
      </w:r>
    </w:p>
    <w:p>
      <w:pPr>
        <w:spacing w:after="120" w:line="300" w:lineRule="atLeast"/>
      </w:pPr>
      <w:r>
        <w:rPr>
          <w:b/>
          <w:bCs/>
        </w:rPr>
        <w:t xml:space="preserve">Required Placement. </w:t>
      </w:r>
      <w:r>
        <w:t xml:space="preserve">The Powered-By Attribution must appear in at least the following locations:</w:t>
      </w:r>
    </w:p>
    <w:p>
      <w:pPr>
        <w:pStyle w:val="ListParagraph"/>
        <w:numPr>
          <w:ilvl w:val="0"/>
          <w:numId w:val="2"/>
        </w:numPr>
        <w:spacing w:after="100" w:line="300" w:lineRule="atLeast"/>
      </w:pPr>
      <w:r>
        <w:t xml:space="preserve">Application footer or "About" / "Legal" screen of the Partner Solution, visible to all authenticated users; and</w:t>
      </w:r>
    </w:p>
    <w:p>
      <w:pPr>
        <w:pStyle w:val="ListParagraph"/>
        <w:numPr>
          <w:ilvl w:val="0"/>
          <w:numId w:val="2"/>
        </w:numPr>
        <w:spacing w:after="100" w:line="300" w:lineRule="atLeast"/>
      </w:pPr>
      <w:r>
        <w:t xml:space="preserve">End-user documentation accompanying the Partner Solution.</w:t>
      </w:r>
    </w:p>
    <w:p>
      <w:r>
        <w:t xml:space="preserve"/>
      </w:r>
    </w:p>
    <w:p>
      <w:pPr>
        <w:spacing w:after="120" w:line="300" w:lineRule="atLeast"/>
      </w:pPr>
      <w:r>
        <w:rPr>
          <w:b/>
          <w:bCs/>
        </w:rPr>
        <w:t xml:space="preserve">Permitted Styling. </w:t>
      </w:r>
      <w:r>
        <w:t xml:space="preserve">The Powered-By Attribution must be legible and not actively concealed. It need not be visually prominent and may be styled to fit the visual design of the Partner Solution, including matching font, size, and color treatment of surrounding text.</w:t>
      </w:r>
    </w:p>
    <w:p>
      <w:r>
        <w:t xml:space="preserve"/>
      </w:r>
    </w:p>
    <w:p>
      <w:pPr>
        <w:spacing w:after="120" w:line="300" w:lineRule="atLeast"/>
      </w:pPr>
      <w:r>
        <w:rPr>
          <w:b/>
          <w:bCs/>
        </w:rPr>
        <w:t xml:space="preserve">Kainam Brand Guidelines. </w:t>
      </w:r>
      <w:r>
        <w:t xml:space="preserve">Where the Kainam logo is used, Partner shall comply with Kainam’s brand guidelines as provided to Partner from time to time, including with respect to clearspace, minimum size, and prohibited modifications.</w:t>
      </w:r>
    </w:p>
    <w:p>
      <w:r>
        <w:t xml:space="preserve"/>
      </w:r>
    </w:p>
    <w:p>
      <w:pPr>
        <w:spacing w:after="120" w:line="300" w:lineRule="atLeast"/>
      </w:pPr>
      <w:r>
        <w:rPr>
          <w:b/>
          <w:bCs/>
        </w:rPr>
        <w:t xml:space="preserve">Marketing References. </w:t>
      </w:r>
      <w:r>
        <w:t xml:space="preserve">Partner may, in its discretion, describe the Partner Solution as being built on or powered by Kainam technology in marketing materials, white papers, and similar communications, subject to Kainam’s brand guidelines and the prohibitions on disparagement and false implications of partnership set forth in the Branding and Trademark License section of the Agreement.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BFBFBF" w:sz="6" w:space="4"/>
      </w:pBdr>
      <w:tabs>
        <w:tab w:val="left" w:pos="0"/>
        <w:tab w:val="right" w:pos="9360"/>
      </w:tabs>
    </w:pPr>
    <w:r>
      <w:rPr>
        <w:sz w:val="18"/>
        <w:szCs w:val="18"/>
      </w:rPr>
      <w:t xml:space="preserve">KAI — OEM and White-Label Agreement 2026</w:t>
    </w:r>
    <w:r>
      <w:t xml:space="preserve">	</w:t>
    </w:r>
    <w:r>
      <w:rPr>
        <w:sz w:val="18"/>
        <w:szCs w:val="18"/>
      </w:rPr>
      <w:t xml:space="preserve">Page </w:t>
    </w:r>
    <w:r>
      <w:rPr>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1F4E79"/>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Kainam OEM and White-Label Agreement</dc:title>
  <dc:creator>Kainam Corporation</dc:creator>
  <cp:lastModifiedBy>Un-named</cp:lastModifiedBy>
  <cp:revision>1</cp:revision>
  <dcterms:created xsi:type="dcterms:W3CDTF">2026-04-27T22:03:07.098Z</dcterms:created>
  <dcterms:modified xsi:type="dcterms:W3CDTF">2026-04-27T22:03:07.099Z</dcterms:modified>
</cp:coreProperties>
</file>

<file path=docProps/custom.xml><?xml version="1.0" encoding="utf-8"?>
<Properties xmlns="http://schemas.openxmlformats.org/officeDocument/2006/custom-properties" xmlns:vt="http://schemas.openxmlformats.org/officeDocument/2006/docPropsVTypes"/>
</file>