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media/image1.png" ContentType="image/png"/>
  <Override PartName="/word/header3.xml" ContentType="application/vnd.openxmlformats-officedocument.wordprocessingml.header+xml"/>
  <Override PartName="/word/footer1.xml" ContentType="application/vnd.openxmlformats-officedocument.wordprocessingml.footer+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word/comments.xml" ContentType="application/vnd.openxmlformats-officedocument.wordprocessingml.comments+xml"/>
  <Override PartName="/word/numbering.xml" ContentType="application/vnd.openxmlformats-officedocument.wordprocessingml.numbering+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r>
    </w:p>
    <w:p>
      <w:pPr>
        <w:pStyle w:val="Title"/>
        <w:rPr/>
      </w:pPr>
      <w:r>
        <w:rPr/>
      </w:r>
    </w:p>
    <w:p>
      <w:pPr>
        <w:pStyle w:val="Title"/>
        <w:rPr/>
      </w:pPr>
      <w:r>
        <w:rPr/>
      </w:r>
    </w:p>
    <w:p>
      <w:pPr>
        <w:pStyle w:val="Title"/>
        <w:rPr/>
      </w:pPr>
      <w:r>
        <w:rPr/>
      </w:r>
    </w:p>
    <w:p>
      <w:pPr>
        <w:pStyle w:val="Title"/>
        <w:rPr/>
      </w:pPr>
      <w:r>
        <w:rPr/>
      </w:r>
    </w:p>
    <w:p>
      <w:pPr>
        <w:pStyle w:val="Title"/>
        <w:rPr/>
      </w:pPr>
      <w:r>
        <w:rPr/>
      </w:r>
    </w:p>
    <w:p>
      <w:pPr>
        <w:pStyle w:val="Title"/>
        <w:jc w:val="center"/>
        <w:rPr>
          <w:rFonts w:ascii="Cambria" w:hAnsi="Cambria" w:asciiTheme="minorHAnsi" w:hAnsiTheme="minorHAnsi"/>
          <w:sz w:val="44"/>
          <w:szCs w:val="44"/>
        </w:rPr>
      </w:pPr>
      <w:r>
        <w:rPr>
          <w:rFonts w:ascii="Cambria" w:hAnsi="Cambria" w:asciiTheme="minorHAnsi" w:hAnsiTheme="minorHAnsi"/>
          <w:sz w:val="44"/>
          <w:szCs w:val="44"/>
        </w:rPr>
        <w:t>Kainam Platform as a Service Agreement</w:t>
      </w:r>
    </w:p>
    <w:p>
      <w:pPr>
        <w:pStyle w:val="Subtitle"/>
        <w:rPr>
          <w:rFonts w:ascii="Cambria" w:hAnsi="Cambria" w:asciiTheme="minorHAnsi" w:hAnsiTheme="minorHAnsi"/>
        </w:rPr>
      </w:pPr>
      <w:r>
        <w:rPr>
          <w:rFonts w:ascii="Cambria" w:hAnsi="Cambria" w:asciiTheme="minorHAnsi" w:hAnsiTheme="minorHAnsi"/>
        </w:rPr>
        <w:t>Presented by Kainam</w:t>
      </w:r>
    </w:p>
    <w:p>
      <w:pPr>
        <w:pStyle w:val="Normal"/>
        <w:rPr/>
      </w:pPr>
      <w:r>
        <w:rPr/>
        <w:t>Prepared for: CLIENT</w:t>
      </w:r>
    </w:p>
    <w:p>
      <w:pPr>
        <w:pStyle w:val="Normal"/>
        <w:rPr/>
      </w:pPr>
      <w:r>
        <w:rPr/>
        <w:t xml:space="preserve">Date: </w:t>
        <w:fldChar w:fldCharType="begin"/>
        <w:instrText xml:space="preserve"> DATE \@"M\/d\/yyyy" </w:instrText>
        <w:fldChar w:fldCharType="separate"/>
        <w:t>4/27/2026</w:t>
        <w:fldChar w:fldCharType="end"/>
      </w:r>
    </w:p>
    <w:p>
      <w:pPr>
        <w:pStyle w:val="Normal"/>
        <w:rPr/>
      </w:pPr>
      <w:r>
        <w:rPr/>
        <w:t>This document contains confidential information intended only for the recipient listed above.</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28"/>
          <w:szCs w:val="28"/>
        </w:rPr>
      </w:pPr>
      <w:r>
        <w:rPr>
          <w:sz w:val="28"/>
          <w:szCs w:val="28"/>
        </w:rPr>
        <w:t>Kainam Direct Access</w:t>
        <w:tab/>
        <w:tab/>
        <w:tab/>
        <w:tab/>
      </w:r>
    </w:p>
    <w:p>
      <w:pPr>
        <w:pStyle w:val="Normal"/>
        <w:rPr/>
      </w:pPr>
      <w:r>
        <w:rPr/>
        <w:t>Louis Litrenta</w:t>
      </w:r>
    </w:p>
    <w:p>
      <w:pPr>
        <w:pStyle w:val="Normal"/>
        <w:rPr/>
      </w:pPr>
      <w:r>
        <w:rPr/>
        <w:t>Vice President, Sales</w:t>
      </w:r>
    </w:p>
    <w:p>
      <w:pPr>
        <w:pStyle w:val="Normal"/>
        <w:rPr/>
      </w:pPr>
      <w:r>
        <w:rPr/>
        <w:t xml:space="preserve">Email: </w:t>
      </w:r>
      <w:hyperlink r:id="rId2">
        <w:r>
          <w:rPr>
            <w:rStyle w:val="Hyperlink"/>
          </w:rPr>
          <w:t>llitrenta@kainam.ai</w:t>
        </w:r>
      </w:hyperlink>
    </w:p>
    <w:p>
      <w:pPr>
        <w:pStyle w:val="Normal"/>
        <w:rPr/>
      </w:pPr>
      <w:r>
        <w:rPr/>
        <w:t>Phone: 908.507.2835</w:t>
      </w:r>
    </w:p>
    <w:p>
      <w:pPr>
        <w:pStyle w:val="Normal"/>
        <w:rPr/>
      </w:pPr>
      <w:r>
        <w:rPr/>
      </w:r>
    </w:p>
    <w:p>
      <w:pPr>
        <w:pStyle w:val="Normal"/>
        <w:rPr>
          <w:sz w:val="24"/>
          <w:szCs w:val="24"/>
        </w:rPr>
      </w:pPr>
      <w:r>
        <w:rPr>
          <w:sz w:val="24"/>
          <w:szCs w:val="24"/>
        </w:rPr>
      </w:r>
    </w:p>
    <w:p>
      <w:pPr>
        <w:pStyle w:val="Normal"/>
        <w:rPr/>
      </w:pPr>
      <w:r>
        <w:rPr/>
      </w:r>
    </w:p>
    <w:p>
      <w:pPr>
        <w:pStyle w:val="Normal"/>
        <w:rPr/>
      </w:pPr>
      <w:r>
        <w:rPr/>
      </w:r>
    </w:p>
    <w:p>
      <w:pPr>
        <w:pStyle w:val="Normal"/>
        <w:rPr/>
      </w:pPr>
      <w:r>
        <w:rPr/>
      </w:r>
    </w:p>
    <w:sdt>
      <w:sdtPr>
        <w:docPartObj>
          <w:docPartGallery w:val="Table of Contents"/>
          <w:docPartUnique w:val="true"/>
        </w:docPartObj>
      </w:sdtPr>
      <w:sdtContent>
        <w:p>
          <w:pPr>
            <w:pStyle w:val="TOCHeading"/>
            <w:rPr/>
          </w:pPr>
          <w:r>
            <w:rPr/>
            <w:t>Table of Contents</w:t>
          </w:r>
        </w:p>
        <w:p>
          <w:pPr>
            <w:pStyle w:val="TOC1"/>
            <w:rPr>
              <w:kern w:val="2"/>
              <w:sz w:val="24"/>
              <w:szCs w:val="24"/>
              <w14:ligatures w14:val="standardContextual"/>
            </w:rPr>
          </w:pPr>
          <w:r>
            <w:fldChar w:fldCharType="begin"/>
          </w:r>
          <w:r>
            <w:rPr>
              <w:webHidden/>
              <w:rStyle w:val="IndexLink"/>
            </w:rPr>
            <w:instrText xml:space="preserve"> TOC \z \o "1-3" \u \h</w:instrText>
            <w:fldChar w:fldCharType="separate"/>
          </w:r>
          <w:hyperlink w:anchor="_Toc220431687">
            <w:r>
              <w:rPr>
                <w:webHidden/>
                <w:rStyle w:val="IndexLink"/>
              </w:rPr>
              <w:t>Parties</w:t>
            </w:r>
            <w:r>
              <w:rPr>
                <w:rStyle w:val="IndexLink"/>
                <w:vanish w:val="false"/>
              </w:rPr>
              <w:tab/>
            </w:r>
            <w:r>
              <w:rPr>
                <w:webHidden/>
              </w:rPr>
              <w:fldChar w:fldCharType="begin"/>
              <w:instrText xml:space="preserve">PAGEREF _Toc220431687 \h</w:instrText>
              <w:fldChar w:fldCharType="separate"/>
            </w:r>
            <w:r>
              <w:rPr>
                <w:rStyle w:val="IndexLink"/>
                <w:kern w:val="2"/>
                <w:sz w:val="24"/>
                <w:szCs w:val="24"/>
                <w14:ligatures w14:val="standardContextual"/>
              </w:rPr>
              <w:t>3</w:t>
            </w:r>
            <w:r>
              <w:rPr>
                <w:webHidden/>
              </w:rPr>
              <w:fldChar w:fldCharType="end"/>
            </w:r>
          </w:hyperlink>
        </w:p>
        <w:p>
          <w:pPr>
            <w:pStyle w:val="TOC1"/>
            <w:rPr>
              <w:kern w:val="2"/>
              <w:sz w:val="24"/>
              <w:szCs w:val="24"/>
              <w14:ligatures w14:val="standardContextual"/>
            </w:rPr>
          </w:pPr>
          <w:hyperlink w:anchor="_Toc220431688">
            <w:r>
              <w:rPr>
                <w:webHidden/>
                <w:rStyle w:val="IndexLink"/>
              </w:rPr>
              <w:t>Definitions</w:t>
            </w:r>
            <w:r>
              <w:rPr>
                <w:rStyle w:val="IndexLink"/>
                <w:vanish w:val="false"/>
              </w:rPr>
              <w:tab/>
            </w:r>
            <w:r>
              <w:rPr>
                <w:webHidden/>
              </w:rPr>
              <w:fldChar w:fldCharType="begin"/>
              <w:instrText xml:space="preserve">PAGEREF _Toc220431688 \h</w:instrText>
              <w:fldChar w:fldCharType="separate"/>
            </w:r>
            <w:r>
              <w:rPr>
                <w:rStyle w:val="IndexLink"/>
                <w:kern w:val="2"/>
                <w:sz w:val="24"/>
                <w:szCs w:val="24"/>
                <w14:ligatures w14:val="standardContextual"/>
              </w:rPr>
              <w:t>3</w:t>
            </w:r>
            <w:r>
              <w:rPr>
                <w:webHidden/>
              </w:rPr>
              <w:fldChar w:fldCharType="end"/>
            </w:r>
          </w:hyperlink>
        </w:p>
        <w:p>
          <w:pPr>
            <w:pStyle w:val="TOC1"/>
            <w:rPr>
              <w:kern w:val="2"/>
              <w:sz w:val="24"/>
              <w:szCs w:val="24"/>
              <w14:ligatures w14:val="standardContextual"/>
            </w:rPr>
          </w:pPr>
          <w:hyperlink w:anchor="_Toc220431689">
            <w:r>
              <w:rPr>
                <w:webHidden/>
                <w:rStyle w:val="IndexLink"/>
              </w:rPr>
              <w:t>Artificial Intelligence Functionality</w:t>
            </w:r>
            <w:r>
              <w:rPr>
                <w:rStyle w:val="IndexLink"/>
                <w:vanish w:val="false"/>
              </w:rPr>
              <w:tab/>
            </w:r>
            <w:r>
              <w:rPr>
                <w:webHidden/>
              </w:rPr>
              <w:fldChar w:fldCharType="begin"/>
              <w:instrText xml:space="preserve">PAGEREF _Toc220431689 \h</w:instrText>
              <w:fldChar w:fldCharType="separate"/>
            </w:r>
            <w:r>
              <w:rPr>
                <w:rStyle w:val="IndexLink"/>
                <w:kern w:val="2"/>
                <w:sz w:val="24"/>
                <w:szCs w:val="24"/>
                <w14:ligatures w14:val="standardContextual"/>
              </w:rPr>
              <w:t>3</w:t>
            </w:r>
            <w:r>
              <w:rPr>
                <w:webHidden/>
              </w:rPr>
              <w:fldChar w:fldCharType="end"/>
            </w:r>
          </w:hyperlink>
        </w:p>
        <w:p>
          <w:pPr>
            <w:pStyle w:val="TOC1"/>
            <w:rPr>
              <w:kern w:val="2"/>
              <w:sz w:val="24"/>
              <w:szCs w:val="24"/>
              <w14:ligatures w14:val="standardContextual"/>
            </w:rPr>
          </w:pPr>
          <w:hyperlink w:anchor="_Toc220431690">
            <w:r>
              <w:rPr>
                <w:webHidden/>
                <w:rStyle w:val="IndexLink"/>
              </w:rPr>
              <w:t>Services and Support</w:t>
            </w:r>
            <w:r>
              <w:rPr>
                <w:rStyle w:val="IndexLink"/>
                <w:vanish w:val="false"/>
              </w:rPr>
              <w:tab/>
            </w:r>
            <w:r>
              <w:rPr>
                <w:webHidden/>
              </w:rPr>
              <w:fldChar w:fldCharType="begin"/>
              <w:instrText xml:space="preserve">PAGEREF _Toc220431690 \h</w:instrText>
              <w:fldChar w:fldCharType="separate"/>
            </w:r>
            <w:r>
              <w:rPr>
                <w:rStyle w:val="IndexLink"/>
                <w:kern w:val="2"/>
                <w:sz w:val="24"/>
                <w:szCs w:val="24"/>
                <w14:ligatures w14:val="standardContextual"/>
              </w:rPr>
              <w:t>3</w:t>
            </w:r>
            <w:r>
              <w:rPr>
                <w:webHidden/>
              </w:rPr>
              <w:fldChar w:fldCharType="end"/>
            </w:r>
          </w:hyperlink>
        </w:p>
        <w:p>
          <w:pPr>
            <w:pStyle w:val="TOC1"/>
            <w:rPr>
              <w:kern w:val="2"/>
              <w:sz w:val="24"/>
              <w:szCs w:val="24"/>
              <w14:ligatures w14:val="standardContextual"/>
            </w:rPr>
          </w:pPr>
          <w:hyperlink w:anchor="_Toc220431691">
            <w:r>
              <w:rPr>
                <w:webHidden/>
                <w:rStyle w:val="IndexLink"/>
              </w:rPr>
              <w:t>Data Ownership, Security and Privacy</w:t>
            </w:r>
            <w:r>
              <w:rPr>
                <w:rStyle w:val="IndexLink"/>
                <w:vanish w:val="false"/>
              </w:rPr>
              <w:tab/>
            </w:r>
            <w:r>
              <w:rPr>
                <w:webHidden/>
              </w:rPr>
              <w:fldChar w:fldCharType="begin"/>
              <w:instrText xml:space="preserve">PAGEREF _Toc220431691 \h</w:instrText>
              <w:fldChar w:fldCharType="separate"/>
            </w:r>
            <w:r>
              <w:rPr>
                <w:rStyle w:val="IndexLink"/>
                <w:kern w:val="2"/>
                <w:sz w:val="24"/>
                <w:szCs w:val="24"/>
                <w14:ligatures w14:val="standardContextual"/>
              </w:rPr>
              <w:t>4</w:t>
            </w:r>
            <w:r>
              <w:rPr>
                <w:webHidden/>
              </w:rPr>
              <w:fldChar w:fldCharType="end"/>
            </w:r>
          </w:hyperlink>
        </w:p>
        <w:p>
          <w:pPr>
            <w:pStyle w:val="TOC1"/>
            <w:rPr>
              <w:kern w:val="2"/>
              <w:sz w:val="24"/>
              <w:szCs w:val="24"/>
              <w14:ligatures w14:val="standardContextual"/>
            </w:rPr>
          </w:pPr>
          <w:hyperlink w:anchor="_Toc220431692">
            <w:r>
              <w:rPr>
                <w:webHidden/>
                <w:rStyle w:val="IndexLink"/>
              </w:rPr>
              <w:t>Intellectual Property</w:t>
            </w:r>
            <w:r>
              <w:rPr>
                <w:rStyle w:val="IndexLink"/>
                <w:vanish w:val="false"/>
              </w:rPr>
              <w:tab/>
            </w:r>
            <w:r>
              <w:rPr>
                <w:webHidden/>
              </w:rPr>
              <w:fldChar w:fldCharType="begin"/>
              <w:instrText xml:space="preserve">PAGEREF _Toc220431692 \h</w:instrText>
              <w:fldChar w:fldCharType="separate"/>
            </w:r>
            <w:r>
              <w:rPr>
                <w:rStyle w:val="IndexLink"/>
                <w:kern w:val="2"/>
                <w:sz w:val="24"/>
                <w:szCs w:val="24"/>
                <w14:ligatures w14:val="standardContextual"/>
              </w:rPr>
              <w:t>5</w:t>
            </w:r>
            <w:r>
              <w:rPr>
                <w:webHidden/>
              </w:rPr>
              <w:fldChar w:fldCharType="end"/>
            </w:r>
          </w:hyperlink>
        </w:p>
        <w:p>
          <w:pPr>
            <w:pStyle w:val="TOC1"/>
            <w:rPr>
              <w:kern w:val="2"/>
              <w:sz w:val="24"/>
              <w:szCs w:val="24"/>
              <w14:ligatures w14:val="standardContextual"/>
            </w:rPr>
          </w:pPr>
          <w:hyperlink w:anchor="_Toc220431693">
            <w:r>
              <w:rPr>
                <w:webHidden/>
                <w:rStyle w:val="IndexLink"/>
              </w:rPr>
              <w:t>Term and Termination</w:t>
            </w:r>
            <w:r>
              <w:rPr>
                <w:rStyle w:val="IndexLink"/>
                <w:vanish w:val="false"/>
              </w:rPr>
              <w:tab/>
            </w:r>
            <w:r>
              <w:rPr>
                <w:webHidden/>
              </w:rPr>
              <w:fldChar w:fldCharType="begin"/>
              <w:instrText xml:space="preserve">PAGEREF _Toc220431693 \h</w:instrText>
              <w:fldChar w:fldCharType="separate"/>
            </w:r>
            <w:r>
              <w:rPr>
                <w:rStyle w:val="IndexLink"/>
                <w:kern w:val="2"/>
                <w:sz w:val="24"/>
                <w:szCs w:val="24"/>
                <w14:ligatures w14:val="standardContextual"/>
              </w:rPr>
              <w:t>5</w:t>
            </w:r>
            <w:r>
              <w:rPr>
                <w:webHidden/>
              </w:rPr>
              <w:fldChar w:fldCharType="end"/>
            </w:r>
          </w:hyperlink>
        </w:p>
        <w:p>
          <w:pPr>
            <w:pStyle w:val="TOC1"/>
            <w:rPr>
              <w:kern w:val="2"/>
              <w:sz w:val="24"/>
              <w:szCs w:val="24"/>
              <w14:ligatures w14:val="standardContextual"/>
            </w:rPr>
          </w:pPr>
          <w:hyperlink w:anchor="_Toc220431694">
            <w:r>
              <w:rPr>
                <w:webHidden/>
                <w:rStyle w:val="IndexLink"/>
              </w:rPr>
              <w:t>Confidentiality</w:t>
            </w:r>
            <w:r>
              <w:rPr>
                <w:rStyle w:val="IndexLink"/>
                <w:vanish w:val="false"/>
              </w:rPr>
              <w:tab/>
            </w:r>
            <w:r>
              <w:rPr>
                <w:webHidden/>
              </w:rPr>
              <w:fldChar w:fldCharType="begin"/>
              <w:instrText xml:space="preserve">PAGEREF _Toc220431694 \h</w:instrText>
              <w:fldChar w:fldCharType="separate"/>
            </w:r>
            <w:r>
              <w:rPr>
                <w:rStyle w:val="IndexLink"/>
                <w:kern w:val="2"/>
                <w:sz w:val="24"/>
                <w:szCs w:val="24"/>
                <w14:ligatures w14:val="standardContextual"/>
              </w:rPr>
              <w:t>5</w:t>
            </w:r>
            <w:r>
              <w:rPr>
                <w:webHidden/>
              </w:rPr>
              <w:fldChar w:fldCharType="end"/>
            </w:r>
          </w:hyperlink>
        </w:p>
        <w:p>
          <w:pPr>
            <w:pStyle w:val="TOC1"/>
            <w:rPr>
              <w:kern w:val="2"/>
              <w:sz w:val="24"/>
              <w:szCs w:val="24"/>
              <w14:ligatures w14:val="standardContextual"/>
            </w:rPr>
          </w:pPr>
          <w:hyperlink w:anchor="_Toc220431695">
            <w:r>
              <w:rPr>
                <w:webHidden/>
                <w:rStyle w:val="IndexLink"/>
              </w:rPr>
              <w:t>Limitation of Liability and Indemnification</w:t>
            </w:r>
            <w:r>
              <w:rPr>
                <w:rStyle w:val="IndexLink"/>
                <w:vanish w:val="false"/>
              </w:rPr>
              <w:tab/>
            </w:r>
            <w:r>
              <w:rPr>
                <w:webHidden/>
              </w:rPr>
              <w:fldChar w:fldCharType="begin"/>
              <w:instrText xml:space="preserve">PAGEREF _Toc220431695 \h</w:instrText>
              <w:fldChar w:fldCharType="separate"/>
            </w:r>
            <w:r>
              <w:rPr>
                <w:rStyle w:val="IndexLink"/>
                <w:kern w:val="2"/>
                <w:sz w:val="24"/>
                <w:szCs w:val="24"/>
                <w14:ligatures w14:val="standardContextual"/>
              </w:rPr>
              <w:t>5</w:t>
            </w:r>
            <w:r>
              <w:rPr>
                <w:webHidden/>
              </w:rPr>
              <w:fldChar w:fldCharType="end"/>
            </w:r>
          </w:hyperlink>
        </w:p>
        <w:p>
          <w:pPr>
            <w:pStyle w:val="TOC1"/>
            <w:rPr>
              <w:kern w:val="2"/>
              <w:sz w:val="24"/>
              <w:szCs w:val="24"/>
              <w14:ligatures w14:val="standardContextual"/>
            </w:rPr>
          </w:pPr>
          <w:hyperlink w:anchor="_Toc220431696">
            <w:r>
              <w:rPr>
                <w:webHidden/>
                <w:rStyle w:val="IndexLink"/>
              </w:rPr>
              <w:t>Audit Compliance</w:t>
            </w:r>
            <w:r>
              <w:rPr>
                <w:rStyle w:val="IndexLink"/>
                <w:vanish w:val="false"/>
              </w:rPr>
              <w:tab/>
            </w:r>
            <w:r>
              <w:rPr>
                <w:webHidden/>
              </w:rPr>
              <w:fldChar w:fldCharType="begin"/>
              <w:instrText xml:space="preserve">PAGEREF _Toc220431696 \h</w:instrText>
              <w:fldChar w:fldCharType="separate"/>
            </w:r>
            <w:r>
              <w:rPr>
                <w:rStyle w:val="IndexLink"/>
                <w:kern w:val="2"/>
                <w:sz w:val="24"/>
                <w:szCs w:val="24"/>
                <w14:ligatures w14:val="standardContextual"/>
              </w:rPr>
              <w:t>5</w:t>
            </w:r>
            <w:r>
              <w:rPr>
                <w:webHidden/>
              </w:rPr>
              <w:fldChar w:fldCharType="end"/>
            </w:r>
          </w:hyperlink>
        </w:p>
        <w:p>
          <w:pPr>
            <w:pStyle w:val="TOC1"/>
            <w:rPr>
              <w:kern w:val="2"/>
              <w:sz w:val="24"/>
              <w:szCs w:val="24"/>
              <w14:ligatures w14:val="standardContextual"/>
            </w:rPr>
          </w:pPr>
          <w:hyperlink w:anchor="_Toc220431697">
            <w:r>
              <w:rPr>
                <w:webHidden/>
                <w:rStyle w:val="IndexLink"/>
              </w:rPr>
              <w:t>Subcontractor Compliance</w:t>
            </w:r>
            <w:r>
              <w:rPr>
                <w:rStyle w:val="IndexLink"/>
                <w:vanish w:val="false"/>
              </w:rPr>
              <w:tab/>
            </w:r>
            <w:r>
              <w:rPr>
                <w:webHidden/>
              </w:rPr>
              <w:fldChar w:fldCharType="begin"/>
              <w:instrText xml:space="preserve">PAGEREF _Toc220431697 \h</w:instrText>
              <w:fldChar w:fldCharType="separate"/>
            </w:r>
            <w:r>
              <w:rPr>
                <w:rStyle w:val="IndexLink"/>
                <w:kern w:val="2"/>
                <w:sz w:val="24"/>
                <w:szCs w:val="24"/>
                <w14:ligatures w14:val="standardContextual"/>
              </w:rPr>
              <w:t>6</w:t>
            </w:r>
            <w:r>
              <w:rPr>
                <w:webHidden/>
              </w:rPr>
              <w:fldChar w:fldCharType="end"/>
            </w:r>
          </w:hyperlink>
        </w:p>
        <w:p>
          <w:pPr>
            <w:pStyle w:val="TOC1"/>
            <w:rPr>
              <w:kern w:val="2"/>
              <w:sz w:val="24"/>
              <w:szCs w:val="24"/>
              <w14:ligatures w14:val="standardContextual"/>
            </w:rPr>
          </w:pPr>
          <w:hyperlink w:anchor="_Toc220431698">
            <w:r>
              <w:rPr>
                <w:webHidden/>
                <w:rStyle w:val="IndexLink"/>
              </w:rPr>
              <w:t>Change Management</w:t>
            </w:r>
            <w:r>
              <w:rPr>
                <w:rStyle w:val="IndexLink"/>
                <w:vanish w:val="false"/>
              </w:rPr>
              <w:tab/>
            </w:r>
            <w:r>
              <w:rPr>
                <w:webHidden/>
              </w:rPr>
              <w:fldChar w:fldCharType="begin"/>
              <w:instrText xml:space="preserve">PAGEREF _Toc220431698 \h</w:instrText>
              <w:fldChar w:fldCharType="separate"/>
            </w:r>
            <w:r>
              <w:rPr>
                <w:rStyle w:val="IndexLink"/>
                <w:kern w:val="2"/>
                <w:sz w:val="24"/>
                <w:szCs w:val="24"/>
                <w14:ligatures w14:val="standardContextual"/>
              </w:rPr>
              <w:t>6</w:t>
            </w:r>
            <w:r>
              <w:rPr>
                <w:webHidden/>
              </w:rPr>
              <w:fldChar w:fldCharType="end"/>
            </w:r>
          </w:hyperlink>
        </w:p>
        <w:p>
          <w:pPr>
            <w:pStyle w:val="TOC1"/>
            <w:rPr>
              <w:kern w:val="2"/>
              <w:sz w:val="24"/>
              <w:szCs w:val="24"/>
              <w14:ligatures w14:val="standardContextual"/>
            </w:rPr>
          </w:pPr>
          <w:hyperlink w:anchor="_Toc220431699">
            <w:r>
              <w:rPr>
                <w:webHidden/>
                <w:rStyle w:val="IndexLink"/>
              </w:rPr>
              <w:t>Governing Law and Miscellaneous</w:t>
            </w:r>
            <w:r>
              <w:rPr>
                <w:rStyle w:val="IndexLink"/>
                <w:vanish w:val="false"/>
              </w:rPr>
              <w:tab/>
            </w:r>
            <w:r>
              <w:rPr>
                <w:webHidden/>
              </w:rPr>
              <w:fldChar w:fldCharType="begin"/>
              <w:instrText xml:space="preserve">PAGEREF _Toc220431699 \h</w:instrText>
              <w:fldChar w:fldCharType="separate"/>
            </w:r>
            <w:r>
              <w:rPr>
                <w:rStyle w:val="IndexLink"/>
                <w:kern w:val="2"/>
                <w:sz w:val="24"/>
                <w:szCs w:val="24"/>
                <w14:ligatures w14:val="standardContextual"/>
              </w:rPr>
              <w:t>6</w:t>
            </w:r>
            <w:r>
              <w:rPr>
                <w:webHidden/>
              </w:rPr>
              <w:fldChar w:fldCharType="end"/>
            </w:r>
          </w:hyperlink>
        </w:p>
        <w:p>
          <w:pPr>
            <w:pStyle w:val="TOC1"/>
            <w:rPr>
              <w:kern w:val="2"/>
              <w:sz w:val="24"/>
              <w:szCs w:val="24"/>
              <w14:ligatures w14:val="standardContextual"/>
            </w:rPr>
          </w:pPr>
          <w:hyperlink w:anchor="_Toc220431700">
            <w:r>
              <w:rPr>
                <w:webHidden/>
                <w:rStyle w:val="IndexLink"/>
              </w:rPr>
              <w:t>Force Majeure</w:t>
            </w:r>
            <w:r>
              <w:rPr>
                <w:rStyle w:val="IndexLink"/>
                <w:vanish w:val="false"/>
              </w:rPr>
              <w:tab/>
            </w:r>
            <w:r>
              <w:rPr>
                <w:webHidden/>
              </w:rPr>
              <w:fldChar w:fldCharType="begin"/>
              <w:instrText xml:space="preserve">PAGEREF _Toc220431700 \h</w:instrText>
              <w:fldChar w:fldCharType="separate"/>
            </w:r>
            <w:r>
              <w:rPr>
                <w:rStyle w:val="IndexLink"/>
                <w:kern w:val="2"/>
                <w:sz w:val="24"/>
                <w:szCs w:val="24"/>
                <w14:ligatures w14:val="standardContextual"/>
              </w:rPr>
              <w:t>6</w:t>
            </w:r>
            <w:r>
              <w:rPr>
                <w:webHidden/>
              </w:rPr>
              <w:fldChar w:fldCharType="end"/>
            </w:r>
          </w:hyperlink>
        </w:p>
        <w:p>
          <w:pPr>
            <w:pStyle w:val="TOC1"/>
            <w:rPr>
              <w:kern w:val="2"/>
              <w:sz w:val="24"/>
              <w:szCs w:val="24"/>
              <w14:ligatures w14:val="standardContextual"/>
            </w:rPr>
          </w:pPr>
          <w:hyperlink w:anchor="_Toc220431701">
            <w:r>
              <w:rPr>
                <w:webHidden/>
                <w:rStyle w:val="IndexLink"/>
              </w:rPr>
              <w:t>Fees and Agreement Duration</w:t>
            </w:r>
            <w:r>
              <w:rPr>
                <w:rStyle w:val="IndexLink"/>
                <w:vanish w:val="false"/>
              </w:rPr>
              <w:tab/>
            </w:r>
            <w:r>
              <w:rPr>
                <w:webHidden/>
              </w:rPr>
              <w:fldChar w:fldCharType="begin"/>
              <w:instrText xml:space="preserve">PAGEREF _Toc220431701 \h</w:instrText>
              <w:fldChar w:fldCharType="separate"/>
            </w:r>
            <w:r>
              <w:rPr>
                <w:rStyle w:val="IndexLink"/>
                <w:kern w:val="2"/>
                <w:sz w:val="24"/>
                <w:szCs w:val="24"/>
                <w14:ligatures w14:val="standardContextual"/>
              </w:rPr>
              <w:t>6</w:t>
            </w:r>
            <w:r>
              <w:rPr>
                <w:webHidden/>
              </w:rPr>
              <w:fldChar w:fldCharType="end"/>
            </w:r>
          </w:hyperlink>
        </w:p>
        <w:p>
          <w:pPr>
            <w:pStyle w:val="TOC1"/>
            <w:rPr>
              <w:kern w:val="2"/>
              <w:sz w:val="24"/>
              <w:szCs w:val="24"/>
              <w14:ligatures w14:val="standardContextual"/>
            </w:rPr>
          </w:pPr>
          <w:hyperlink w:anchor="_Toc220431702">
            <w:r>
              <w:rPr>
                <w:webHidden/>
                <w:rStyle w:val="IndexLink"/>
              </w:rPr>
              <w:t>Payment Terms</w:t>
            </w:r>
            <w:r>
              <w:rPr>
                <w:rStyle w:val="IndexLink"/>
                <w:vanish w:val="false"/>
              </w:rPr>
              <w:tab/>
            </w:r>
            <w:r>
              <w:rPr>
                <w:webHidden/>
              </w:rPr>
              <w:fldChar w:fldCharType="begin"/>
              <w:instrText xml:space="preserve">PAGEREF _Toc220431702 \h</w:instrText>
              <w:fldChar w:fldCharType="separate"/>
            </w:r>
            <w:r>
              <w:rPr>
                <w:rStyle w:val="IndexLink"/>
                <w:kern w:val="2"/>
                <w:sz w:val="24"/>
                <w:szCs w:val="24"/>
                <w14:ligatures w14:val="standardContextual"/>
              </w:rPr>
              <w:t>7</w:t>
            </w:r>
            <w:r>
              <w:rPr>
                <w:webHidden/>
              </w:rPr>
              <w:fldChar w:fldCharType="end"/>
            </w:r>
          </w:hyperlink>
        </w:p>
        <w:p>
          <w:pPr>
            <w:pStyle w:val="TOC1"/>
            <w:rPr>
              <w:kern w:val="2"/>
              <w:sz w:val="24"/>
              <w:szCs w:val="24"/>
              <w14:ligatures w14:val="standardContextual"/>
            </w:rPr>
          </w:pPr>
          <w:hyperlink w:anchor="_Toc220431703">
            <w:r>
              <w:rPr>
                <w:webHidden/>
                <w:rStyle w:val="IndexLink"/>
              </w:rPr>
              <w:t>Payments</w:t>
            </w:r>
            <w:r>
              <w:rPr>
                <w:rStyle w:val="IndexLink"/>
                <w:vanish w:val="false"/>
              </w:rPr>
              <w:tab/>
            </w:r>
            <w:r>
              <w:rPr>
                <w:webHidden/>
              </w:rPr>
              <w:fldChar w:fldCharType="begin"/>
              <w:instrText xml:space="preserve">PAGEREF _Toc220431703 \h</w:instrText>
              <w:fldChar w:fldCharType="separate"/>
            </w:r>
            <w:r>
              <w:rPr>
                <w:rStyle w:val="IndexLink"/>
                <w:kern w:val="2"/>
                <w:sz w:val="24"/>
                <w:szCs w:val="24"/>
                <w14:ligatures w14:val="standardContextual"/>
              </w:rPr>
              <w:t>7</w:t>
            </w:r>
            <w:r>
              <w:rPr>
                <w:webHidden/>
              </w:rPr>
              <w:fldChar w:fldCharType="end"/>
            </w:r>
          </w:hyperlink>
        </w:p>
        <w:p>
          <w:pPr>
            <w:pStyle w:val="TOC1"/>
            <w:rPr>
              <w:kern w:val="2"/>
              <w:sz w:val="24"/>
              <w:szCs w:val="24"/>
              <w14:ligatures w14:val="standardContextual"/>
            </w:rPr>
          </w:pPr>
          <w:hyperlink w:anchor="_Toc220431704">
            <w:r>
              <w:rPr>
                <w:webHidden/>
                <w:rStyle w:val="IndexLink"/>
              </w:rPr>
              <w:t>Signatures and Execution</w:t>
            </w:r>
            <w:r>
              <w:rPr>
                <w:rStyle w:val="IndexLink"/>
                <w:vanish w:val="false"/>
              </w:rPr>
              <w:tab/>
            </w:r>
            <w:r>
              <w:rPr>
                <w:webHidden/>
              </w:rPr>
              <w:fldChar w:fldCharType="begin"/>
              <w:instrText xml:space="preserve">PAGEREF _Toc220431704 \h</w:instrText>
              <w:fldChar w:fldCharType="separate"/>
            </w:r>
            <w:r>
              <w:rPr>
                <w:rStyle w:val="IndexLink"/>
                <w:kern w:val="2"/>
                <w:sz w:val="24"/>
                <w:szCs w:val="24"/>
                <w14:ligatures w14:val="standardContextual"/>
              </w:rPr>
              <w:t>7</w:t>
            </w:r>
            <w:r>
              <w:rPr>
                <w:webHidden/>
              </w:rPr>
              <w:fldChar w:fldCharType="end"/>
            </w:r>
          </w:hyperlink>
        </w:p>
        <w:p>
          <w:pPr>
            <w:pStyle w:val="Normal"/>
            <w:rPr>
              <w:b/>
              <w:bCs/>
            </w:rPr>
          </w:pPr>
          <w:r>
            <w:rPr>
              <w:b/>
              <w:bCs/>
            </w:rPr>
            <w:fldChar w:fldCharType="end"/>
          </w:r>
        </w:p>
      </w:sdtContent>
    </w:sdt>
    <w:p>
      <w:pPr>
        <w:pStyle w:val="Normal"/>
        <w:rPr>
          <w:rFonts w:ascii="Calibri" w:hAnsi="Calibri" w:eastAsia="ＭＳ ゴシック" w:cs="" w:asciiTheme="majorHAnsi" w:cstheme="majorBidi" w:eastAsiaTheme="majorEastAsia" w:hAnsiTheme="majorHAnsi"/>
          <w:b/>
          <w:bCs/>
          <w:color w:themeColor="accent1" w:themeShade="bf" w:val="365F91"/>
          <w:sz w:val="28"/>
          <w:szCs w:val="28"/>
        </w:rPr>
      </w:pPr>
      <w:r>
        <w:rPr>
          <w:rFonts w:eastAsia="ＭＳ ゴシック" w:cs="" w:cstheme="majorBidi" w:eastAsiaTheme="majorEastAsia" w:ascii="Calibri" w:hAnsi="Calibri"/>
          <w:b/>
          <w:bCs/>
          <w:color w:themeColor="accent1" w:themeShade="bf" w:val="365F91"/>
          <w:sz w:val="28"/>
          <w:szCs w:val="28"/>
        </w:rPr>
      </w:r>
      <w:r>
        <w:br w:type="page"/>
      </w:r>
    </w:p>
    <w:p>
      <w:pPr>
        <w:pStyle w:val="Heading1"/>
        <w:rPr>
          <w:rFonts w:eastAsia="Arial"/>
        </w:rPr>
      </w:pPr>
      <w:bookmarkStart w:id="1" w:name="_Toc220431687"/>
      <w:r>
        <w:rPr/>
        <w:t>Parties</w:t>
      </w:r>
      <w:bookmarkEnd w:id="1"/>
    </w:p>
    <w:p>
      <w:pPr>
        <w:pStyle w:val="Normal"/>
        <w:rPr>
          <w:rFonts w:ascii="Cambria" w:hAnsi="Cambria"/>
          <w:color w:val="000000"/>
        </w:rPr>
      </w:pPr>
      <w:r>
        <w:rPr>
          <w:color w:val="000000"/>
        </w:rPr>
        <w:t>This Kainam Platform as a Service Agreement (“Agreement”) is made by and between Kainam Corporation, a Delaware corporation (“Kainam”), and the entity identified in the signature block below (“Client”). Together, Kainam and the Client are referred to herein as the “Parties.”</w:t>
      </w:r>
    </w:p>
    <w:p>
      <w:pPr>
        <w:pStyle w:val="Heading1"/>
        <w:rPr/>
      </w:pPr>
      <w:bookmarkStart w:id="2" w:name="_Toc220431688"/>
      <w:r>
        <w:rPr/>
        <w:t>Definitions</w:t>
      </w:r>
      <w:bookmarkEnd w:id="2"/>
    </w:p>
    <w:p>
      <w:pPr>
        <w:pStyle w:val="Normal"/>
        <w:rPr/>
      </w:pPr>
      <w:r>
        <w:rPr/>
        <w:t xml:space="preserve">“Platform” means Kainam’s hosted software and services. </w:t>
      </w:r>
    </w:p>
    <w:p>
      <w:pPr>
        <w:pStyle w:val="Normal"/>
        <w:rPr/>
      </w:pPr>
      <w:r>
        <w:rPr/>
        <w:t>“Client Data” means all data uploaded or generated by Client.</w:t>
      </w:r>
    </w:p>
    <w:p>
      <w:pPr>
        <w:pStyle w:val="Normal"/>
        <w:rPr/>
      </w:pPr>
      <w:r>
        <w:rPr/>
        <w:t>“Consumption Fees” means usage-based charges that reflect the volume or frequency of service consumption, such as API calls, data processed, or active users.</w:t>
      </w:r>
    </w:p>
    <w:p>
      <w:pPr>
        <w:pStyle w:val="Heading1"/>
        <w:rPr/>
      </w:pPr>
      <w:bookmarkStart w:id="3" w:name="_Toc220431689"/>
      <w:r>
        <w:rPr/>
        <w:t>Artificial Intelligence Functionality</w:t>
      </w:r>
      <w:bookmarkEnd w:id="3"/>
    </w:p>
    <w:p>
      <w:pPr>
        <w:pStyle w:val="Normal"/>
        <w:rPr/>
      </w:pPr>
      <w:r>
        <w:rPr/>
        <w:t>The Platform incorporates artificial intelligence (“AI”) and machine learning (“ML”) technologies to provide certain features and functionalities.</w:t>
      </w:r>
    </w:p>
    <w:p>
      <w:pPr>
        <w:pStyle w:val="Normal"/>
        <w:numPr>
          <w:ilvl w:val="0"/>
          <w:numId w:val="14"/>
        </w:numPr>
        <w:spacing w:lineRule="atLeast" w:line="300" w:before="0" w:after="0"/>
        <w:contextualSpacing w:val="false"/>
        <w:rPr>
          <w:rFonts w:ascii="Segoe UI" w:hAnsi="Segoe UI" w:eastAsia="Times New Roman" w:cs="Segoe UI"/>
          <w:sz w:val="21"/>
          <w:szCs w:val="21"/>
        </w:rPr>
      </w:pPr>
      <w:r>
        <w:rPr/>
        <w:t>Kainam will disclose, upon request, the nature of AI features and the extent to which automated decision-making is involved.</w:t>
      </w:r>
    </w:p>
    <w:p>
      <w:pPr>
        <w:pStyle w:val="Normal"/>
        <w:numPr>
          <w:ilvl w:val="0"/>
          <w:numId w:val="14"/>
        </w:numPr>
        <w:spacing w:lineRule="atLeast" w:line="300" w:before="0" w:after="0"/>
        <w:contextualSpacing w:val="false"/>
        <w:rPr/>
      </w:pPr>
      <w:r>
        <w:rPr/>
        <w:t>Kainam will not use Client Data to train AI models that are made available to third parties without the Client’s prior written consent. Kainam may, however, use de-identified, aggregated, or anonymized data derived from Platform usage to operate, maintain, secure, analyze, and improve the Platform and its underlying models, provided such data does not identify the Client or any individual and cannot reasonably be used to do so. Any model improvements derived from such use are the property of Kainam.</w:t>
      </w:r>
    </w:p>
    <w:p>
      <w:pPr>
        <w:pStyle w:val="Normal"/>
        <w:numPr>
          <w:ilvl w:val="0"/>
          <w:numId w:val="14"/>
        </w:numPr>
        <w:rPr/>
      </w:pPr>
      <w:r>
        <w:rPr/>
        <w:t>Kainam will comply with all applicable laws and regulations governing the use of AI, including but not limited to data protection, privacy, and anti-discrimination laws.</w:t>
      </w:r>
    </w:p>
    <w:p>
      <w:pPr>
        <w:pStyle w:val="Normal"/>
        <w:numPr>
          <w:ilvl w:val="0"/>
          <w:numId w:val="14"/>
        </w:numPr>
        <w:rPr/>
      </w:pPr>
      <w:r>
        <w:rPr/>
        <w:t>The Client acknowledges that AI-generated outputs may not be error-free and agrees to review and validate critical outputs before relying on them for business decisions.</w:t>
      </w:r>
    </w:p>
    <w:p>
      <w:pPr>
        <w:pStyle w:val="Normal"/>
        <w:numPr>
          <w:ilvl w:val="0"/>
          <w:numId w:val="14"/>
        </w:numPr>
        <w:rPr/>
      </w:pPr>
      <w:r>
        <w:rPr/>
        <w:t>The Client agrees not to use the Platform’s AI features for any unlawful, harmful, or discriminatory purposes.</w:t>
      </w:r>
    </w:p>
    <w:p>
      <w:pPr>
        <w:pStyle w:val="Heading1"/>
        <w:rPr/>
      </w:pPr>
      <w:bookmarkStart w:id="4" w:name="_Toc220431690"/>
      <w:r>
        <w:rPr/>
        <w:t>Services and Support</w:t>
      </w:r>
      <w:bookmarkEnd w:id="4"/>
    </w:p>
    <w:p>
      <w:pPr>
        <w:pStyle w:val="Normal"/>
        <w:rPr/>
      </w:pPr>
      <w:r>
        <w:rPr/>
        <w:t>Kainam will provide the Client with access to its hosted software platform (“Platform”) via the internet. The Platform includes the features, modules, and functionalities described in Kainam’s documentation and on its website. Kainam is responsible for maintaining, updating, and supporting the Platform to ensure its proper operation and availability.</w:t>
      </w:r>
    </w:p>
    <w:p>
      <w:pPr>
        <w:pStyle w:val="Normal"/>
        <w:rPr/>
      </w:pPr>
      <w:r>
        <w:rPr/>
        <w:t xml:space="preserve">The Client may use the Platform solely for its internal business purposes, subject to the terms of this Agreement. </w:t>
      </w:r>
    </w:p>
    <w:p>
      <w:pPr>
        <w:pStyle w:val="Normal"/>
        <w:rPr/>
      </w:pPr>
      <w:r>
        <w:rPr/>
      </w:r>
    </w:p>
    <w:p>
      <w:pPr>
        <w:pStyle w:val="Normal"/>
        <w:rPr/>
      </w:pPr>
      <w:r>
        <w:rPr/>
        <w:t>The scope of permitted use includes:</w:t>
      </w:r>
    </w:p>
    <w:p>
      <w:pPr>
        <w:pStyle w:val="Normal"/>
        <w:numPr>
          <w:ilvl w:val="0"/>
          <w:numId w:val="7"/>
        </w:numPr>
        <w:rPr/>
      </w:pPr>
      <w:r>
        <w:rPr/>
        <w:t>Access for an unlimited number of authorized users within the Client’s organization. Kainam does not charge per-user or seat-based fees. Client acknowledges that increasing the number of users or volume of activity on the Platform will increase the computing resources required to deliver the service, and that such increases are reflected in the Consumption Fees described in the Fees and Agreement Duration section. For Kainam-hosted environments, Kainam will pass through the resulting consumption costs to Client. For deployments in Client’s private cloud, Client is directly responsible for all underlying infrastructure and consumption costs.</w:t>
      </w:r>
    </w:p>
    <w:p>
      <w:pPr>
        <w:pStyle w:val="Normal"/>
        <w:numPr>
          <w:ilvl w:val="0"/>
          <w:numId w:val="7"/>
        </w:numPr>
        <w:rPr/>
      </w:pPr>
      <w:r>
        <w:rPr/>
        <w:t>Use of the Platform’s standard features and any additional modules or integrations specified in an order form or statement of work.</w:t>
      </w:r>
    </w:p>
    <w:p>
      <w:pPr>
        <w:pStyle w:val="Normal"/>
        <w:numPr>
          <w:ilvl w:val="0"/>
          <w:numId w:val="7"/>
        </w:numPr>
        <w:rPr/>
      </w:pPr>
      <w:r>
        <w:rPr/>
        <w:t>Support services during normal business hours (8:00 AM to 5:00 PM Eastern Time, Monday through Friday, excluding U.S. federal holidays).</w:t>
      </w:r>
    </w:p>
    <w:p>
      <w:pPr>
        <w:pStyle w:val="Normal"/>
        <w:rPr/>
      </w:pPr>
      <w:r>
        <w:rPr/>
      </w:r>
    </w:p>
    <w:p>
      <w:pPr>
        <w:pStyle w:val="Normal"/>
        <w:rPr/>
      </w:pPr>
      <w:r>
        <w:rPr/>
        <w:t>Kainam will provide reasonable efforts to maintain 99% uptime, excluding scheduled maintenance and events beyond its control. Any changes, updates, or enhancements to the Platform will be communicated to the Client in advance if they materially affect functionality or availability.</w:t>
      </w:r>
    </w:p>
    <w:p>
      <w:pPr>
        <w:pStyle w:val="Normal"/>
        <w:rPr/>
      </w:pPr>
      <w:r>
        <w:rPr/>
      </w:r>
    </w:p>
    <w:p>
      <w:pPr>
        <w:pStyle w:val="Normal"/>
        <w:rPr/>
      </w:pPr>
      <w:r>
        <w:rPr/>
        <w:t xml:space="preserve">The Client is responsible for ensuring that its use of the Platform complies with all applicable laws and does not violate the rights of third parties. Use of the Platform for unlawful, harmful, or offensive activities is strictly prohibited. Client’s use of the Platform is also subject to Kainam’s Acceptable Use Policy, available at </w:t>
      </w:r>
      <w:r>
        <w:rPr/>
        <w:t>https://kainam.ai/aup</w:t>
      </w:r>
      <w:r>
        <w:rPr/>
        <w:t xml:space="preserve">, as updated from time to time. In the event of a conflict between this Agreement and the Acceptable Use Policy, this Agreement controls.</w:t>
      </w:r>
    </w:p>
    <w:p>
      <w:pPr>
        <w:pStyle w:val="Normal"/>
        <w:rPr/>
      </w:pPr>
      <w:r>
        <w:rPr/>
      </w:r>
    </w:p>
    <w:p>
      <w:pPr>
        <w:pStyle w:val="Normal"/>
        <w:rPr>
          <w:rFonts w:eastAsia="Arial"/>
        </w:rPr>
      </w:pPr>
      <w:r>
        <w:rPr>
          <w:rFonts w:eastAsia="Arial"/>
        </w:rPr>
        <w:t>Kainam will provide maintenance and support for the Software in accordance with its current Standard Maintenance Program, which is available on the Kainam website.</w:t>
      </w:r>
    </w:p>
    <w:p>
      <w:pPr>
        <w:pStyle w:val="Normal"/>
        <w:rPr>
          <w:rFonts w:eastAsia="Arial"/>
        </w:rPr>
      </w:pPr>
      <w:r>
        <w:rPr>
          <w:rFonts w:eastAsia="Arial"/>
        </w:rPr>
        <w:br/>
        <w:t>All maintenance and support requests must be logged via Kainam’s Jira ticketing system. Kainam will provide updates and resolutions through this platform. Both parties agree to monitor and respond to tickets in accordance with mutually agreed service levels.</w:t>
      </w:r>
    </w:p>
    <w:p>
      <w:pPr>
        <w:pStyle w:val="Normal"/>
        <w:rPr>
          <w:rFonts w:eastAsia="Arial"/>
        </w:rPr>
      </w:pPr>
      <w:r>
        <w:rPr>
          <w:rFonts w:eastAsia="Arial"/>
        </w:rPr>
      </w:r>
    </w:p>
    <w:p>
      <w:pPr>
        <w:pStyle w:val="Normal"/>
        <w:rPr/>
      </w:pPr>
      <w:r>
        <w:rPr>
          <w:rFonts w:eastAsia="Arial"/>
        </w:rPr>
        <w:t>Clients will be assigned one login ID for Jira, which may be shared among authorized personnel for the purposes of submitting and tracking service requests.</w:t>
      </w:r>
    </w:p>
    <w:p>
      <w:pPr>
        <w:pStyle w:val="Heading1"/>
        <w:rPr/>
      </w:pPr>
      <w:bookmarkStart w:id="5" w:name="_Toc220431691"/>
      <w:r>
        <w:rPr/>
        <w:t>Data Ownership, Security and Privacy</w:t>
      </w:r>
      <w:bookmarkEnd w:id="5"/>
    </w:p>
    <w:p>
      <w:pPr>
        <w:pStyle w:val="Normal"/>
        <w:rPr/>
      </w:pPr>
      <w:r>
        <w:rPr/>
        <w:t>Client owns all Client Data. Upon request or termination, Client may export data in a standard format; Kainam will assist for up to thirty (30) days after termination. Following the expiration of the export period, Kainam will delete or anonymize Client Data from its production systems within sixty (60) days, except to the extent retention is required by applicable law or for backup, archival, or audit purposes (in which case the data will remain subject to the confidentiality and security obligations of this Agreement until deleted in the ordinary course). Upon written request, Kainam will provide written confirmation of deletion. Kainam will comply with applicable data protection laws (e.g., GDPR, HIPAA). Kainam maintains regular backups and disaster recovery procedures. For private cloud deployments, Client is responsible for daily backups. Kainam is not liable for data loss due to Client misuse, third-party outages outside Kainam’s reasonable control, or viruses or malicious code introduced through Client systems or Client Data.</w:t>
      </w:r>
    </w:p>
    <w:p>
      <w:pPr>
        <w:pStyle w:val="Normal"/>
        <w:rPr/>
      </w:pPr>
      <w:r>
        <w:rPr/>
      </w:r>
    </w:p>
    <w:p>
      <w:pPr>
        <w:pStyle w:val="Normal"/>
        <w:rPr/>
      </w:pPr>
      <w:r>
        <w:rPr/>
        <w:t>Kainam shall process all Client Data in accordance with applicable data protection laws, including the General Data Protection Regulation (GDPR) and the Health Insurance Portability and Accountability Act (HIPAA), as relevant.</w:t>
      </w:r>
    </w:p>
    <w:p>
      <w:pPr>
        <w:pStyle w:val="Normal"/>
        <w:numPr>
          <w:ilvl w:val="0"/>
          <w:numId w:val="10"/>
        </w:numPr>
        <w:rPr/>
      </w:pPr>
      <w:r>
        <w:rPr/>
        <w:t>Kainam will implement appropriate technical and organizational measures to safeguard Client Data against unauthorized access, loss, or disclosure.</w:t>
      </w:r>
    </w:p>
    <w:p>
      <w:pPr>
        <w:pStyle w:val="Normal"/>
        <w:numPr>
          <w:ilvl w:val="0"/>
          <w:numId w:val="10"/>
        </w:numPr>
        <w:rPr/>
      </w:pPr>
      <w:r>
        <w:rPr/>
        <w:t>In the event of a data breach affecting Client Data, Kainam will notify the Client without undue delay and cooperate fully in any required investigation or remediation.</w:t>
      </w:r>
    </w:p>
    <w:p>
      <w:pPr>
        <w:pStyle w:val="Normal"/>
        <w:numPr>
          <w:ilvl w:val="0"/>
          <w:numId w:val="10"/>
        </w:numPr>
        <w:rPr/>
      </w:pPr>
      <w:r>
        <w:rPr/>
        <w:t>Upon request, Kainam will provide the Client with a Data Processing Agreement (DPA) detailing roles, responsibilities, and compliance mechanisms.</w:t>
      </w:r>
    </w:p>
    <w:p>
      <w:pPr>
        <w:pStyle w:val="Normal"/>
        <w:numPr>
          <w:ilvl w:val="0"/>
          <w:numId w:val="10"/>
        </w:numPr>
        <w:rPr/>
      </w:pPr>
      <w:r>
        <w:rPr/>
        <w:t>Kainam will not transfer Client Data outside the jurisdiction specified by the Client without prior written consent, except as required by law.</w:t>
      </w:r>
    </w:p>
    <w:p>
      <w:pPr>
        <w:pStyle w:val="Normal"/>
        <w:numPr>
          <w:ilvl w:val="0"/>
          <w:numId w:val="10"/>
        </w:numPr>
        <w:rPr/>
      </w:pPr>
      <w:r>
        <w:rPr/>
        <w:t>Kainam will assist the Client in responding to data subject requests and regulatory inquiries related to the Platform.</w:t>
      </w:r>
    </w:p>
    <w:p>
      <w:pPr>
        <w:pStyle w:val="Heading1"/>
        <w:rPr/>
      </w:pPr>
      <w:bookmarkStart w:id="6" w:name="_Toc220431692"/>
      <w:r>
        <w:rPr/>
        <w:t>Intellectual Property</w:t>
      </w:r>
      <w:bookmarkEnd w:id="6"/>
    </w:p>
    <w:p>
      <w:pPr>
        <w:pStyle w:val="Normal"/>
        <w:rPr/>
      </w:pPr>
      <w:r>
        <w:rPr/>
        <w:t>Kainam retains all rights to the Platform and related intellectual property. Client receives a non-exclusive, non-transferable right to use the Platform. No rights are transferred to Client.</w:t>
      </w:r>
    </w:p>
    <w:p>
      <w:pPr>
        <w:pStyle w:val="Heading1"/>
        <w:rPr/>
      </w:pPr>
      <w:bookmarkStart w:id="7" w:name="_Toc220431693"/>
      <w:r>
        <w:rPr/>
        <w:t>Term and Termination</w:t>
      </w:r>
      <w:bookmarkEnd w:id="7"/>
    </w:p>
    <w:p>
      <w:pPr>
        <w:pStyle w:val="Normal"/>
        <w:rPr/>
      </w:pPr>
      <w:r>
        <w:rPr/>
      </w:r>
    </w:p>
    <w:p>
      <w:pPr>
        <w:pStyle w:val="Normal"/>
        <w:rPr/>
      </w:pPr>
      <w:r>
        <w:rPr/>
        <w:t>This Agreement will begin on the date it is signed by both parties (“Effective Date”) and will continue for an initial term of XX year(s) unless terminated earlier as provided below. After the initial term, this Agreement will automatically renew for additional one-year periods unless either party provides written notice of non-renewal at least 30 days before the end of the then-current term.</w:t>
      </w:r>
    </w:p>
    <w:p>
      <w:pPr>
        <w:pStyle w:val="Normal"/>
        <w:rPr/>
      </w:pPr>
      <w:r>
        <w:rPr/>
      </w:r>
    </w:p>
    <w:p>
      <w:pPr>
        <w:pStyle w:val="Normal"/>
        <w:rPr/>
      </w:pPr>
      <w:r>
        <w:rPr/>
        <w:t>Either party may terminate this Agreement for material breach by the other party if such breach remains uncured thirty (30) days after written notice describing the breach in reasonable detail. Either party may also terminate immediately upon the other party’s insolvency, bankruptcy filing, assignment for the benefit of creditors, or cessation of business. Termination for convenience is permitted only at the end of the then-current term by providing the non-renewal notice described above; neither party may terminate for convenience during an active term. Upon termination, all rights and obligations end except those meant to survive (e.g., confidentiality, payment for services already provided). Kainam will provide reasonable assistance for data migration for up to 30 days.</w:t>
      </w:r>
    </w:p>
    <w:p>
      <w:pPr>
        <w:pStyle w:val="Heading1"/>
        <w:rPr/>
      </w:pPr>
      <w:bookmarkStart w:id="8" w:name="_Toc220431694"/>
      <w:r>
        <w:rPr/>
        <w:t>Confidentiality</w:t>
      </w:r>
      <w:bookmarkEnd w:id="8"/>
    </w:p>
    <w:p>
      <w:pPr>
        <w:pStyle w:val="Normal"/>
        <w:rPr/>
      </w:pPr>
      <w:r>
        <w:rPr/>
        <w:t>Both parties must keep confidential information private for five years after disclosure, or as long as it remains a trade secret. Exceptions apply for public, independently developed, or legally required disclosures.</w:t>
      </w:r>
    </w:p>
    <w:p>
      <w:pPr>
        <w:pStyle w:val="Heading1"/>
        <w:rPr/>
      </w:pPr>
      <w:bookmarkStart w:id="9" w:name="_Toc220431695"/>
      <w:r>
        <w:rPr/>
        <w:t>Limitation of Liability and Indemnification</w:t>
      </w:r>
      <w:bookmarkEnd w:id="9"/>
    </w:p>
    <w:p>
      <w:pPr>
        <w:pStyle w:val="Normal"/>
        <w:rPr/>
      </w:pPr>
      <w:r>
        <w:rPr>
          <w:b/>
        </w:rPr>
        <w:t xml:space="preserve">Warranty Disclaimer. </w:t>
      </w:r>
      <w:r>
        <w:rPr/>
        <w:t xml:space="preserve">Except as expressly stated in this Agreement, the Platform is provided “AS IS” and “AS AVAILABLE.” Kainam disclaims all other warranties, whether express, implied, or statutory, including without limitation any implied warranties of merchantability, fitness for a particular purpose, title, non-infringement, accuracy, and any warranties arising from course of dealing or usage of trade. Kainam does not warrant that the Platform will be uninterrupted, error-free, or that all defects will be corrected. </w:t>
      </w:r>
      <w:r>
        <w:rPr>
          <w:b/>
        </w:rPr>
        <w:t xml:space="preserve">Exclusion of Damages. </w:t>
      </w:r>
      <w:r>
        <w:rPr/>
        <w:t xml:space="preserve">To the maximum extent permitted by applicable law, in no event will either party be liable to the other for any indirect, incidental, special, consequential, exemplary, or punitive damages, or for any loss of profits, revenue, business, goodwill, anticipated savings, or data, arising out of or relating to this Agreement or the Platform, regardless of the form of action and whether or not such party has been advised of the possibility of such damages. </w:t>
      </w:r>
      <w:r>
        <w:rPr>
          <w:b/>
        </w:rPr>
        <w:t xml:space="preserve">Liability Cap. </w:t>
      </w:r>
      <w:r>
        <w:rPr/>
        <w:t xml:space="preserve">Each party’s total cumulative liability arising out of or relating to this Agreement, regardless of the form of action, will not exceed the total fees paid or payable by Client to Kainam under this Agreement during the twelve (12) months immediately preceding the event giving rise to the claim. </w:t>
      </w:r>
      <w:r>
        <w:rPr>
          <w:b/>
        </w:rPr>
        <w:t xml:space="preserve">Exceptions to Limitations. </w:t>
      </w:r>
      <w:r>
        <w:rPr/>
        <w:t xml:space="preserve">The exclusions and limitations in this section do not apply to: (a) either party’s indemnification obligations under this Agreement; (b) breach of confidentiality obligations; (c) Client’s payment obligations; (d) either party’s gross negligence, willful misconduct, or fraud; or (e) liabilities that cannot be limited under applicable law. </w:t>
      </w:r>
      <w:r>
        <w:rPr>
          <w:b/>
        </w:rPr>
        <w:t xml:space="preserve">Kainam Indemnification. </w:t>
      </w:r>
      <w:r>
        <w:rPr/>
        <w:t xml:space="preserve">Kainam will defend Client against any third-party claim alleging that Client’s authorized use of the Platform infringes a valid U.S. patent, copyright, trademark, or trade secret of such third party, and will indemnify Client against damages and costs finally awarded by a court of competent jurisdiction or agreed to in settlement, provided that Client (i) promptly notifies Kainam in writing of the claim, (ii) gives Kainam sole control over the defense and settlement of the claim, and (iii) provides reasonable cooperation at Kainam’s expense. Kainam will have no obligation under this section to the extent the claim arises from: (1) Client Data or content provided by Client; (2) modifications to the Platform not made or authorized by Kainam; (3) combination of the Platform with products, services, or materials not provided by Kainam where the claim would not have arisen but for such combination; or (4) Client’s use of the Platform in violation of this Agreement or applicable law. If the Platform becomes, or in Kainam’s opinion is likely to become, the subject of an infringement claim, Kainam may, at its option and expense: (A) procure for Client the right to continue using the Platform; (B) modify or replace the Platform so it is non-infringing while preserving substantially equivalent functionality; or (C) if neither (A) nor (B) is commercially reasonable, terminate the affected portion of the Agreement and refund any prepaid, unused fees for the affected portion. This section states Kainam’s sole and exclusive liability, and Client’s sole and exclusive remedy, for any claim of intellectual property infringement. </w:t>
      </w:r>
      <w:r>
        <w:rPr>
          <w:b/>
        </w:rPr>
        <w:t xml:space="preserve">Client Indemnification. </w:t>
      </w:r>
      <w:r>
        <w:rPr/>
        <w:t>Client will defend, indemnify, and hold harmless Kainam and its affiliates, officers, directors, employees, and agents from and against any third-party claim arising out of or relating to: (i) Client Data, including any claim that Client Data infringes or misappropriates the rights of any third party or violates applicable law; (ii) Client’s use of the Platform in violation of this Agreement or applicable law; or (iii) Client’s breach of its representations or obligations under this Agreement. Client will pay damages and costs finally awarded against Kainam or agreed to in settlement, subject to Kainam (i) promptly notifying Client of the claim, (ii) giving Client sole control over the defense and settlement (provided Client may not settle any claim without Kainam’s prior written consent if the settlement requires admission of liability or imposes any obligation on Kainam), and (iii) providing reasonable cooperation at Client’s expense.</w:t>
      </w:r>
    </w:p>
    <w:p>
      <w:pPr>
        <w:pStyle w:val="Heading1"/>
        <w:rPr/>
      </w:pPr>
      <w:bookmarkStart w:id="10" w:name="_Toc220431696"/>
      <w:r>
        <w:rPr/>
        <w:t>Audit Compliance</w:t>
      </w:r>
      <w:bookmarkEnd w:id="10"/>
    </w:p>
    <w:p>
      <w:pPr>
        <w:pStyle w:val="Normal"/>
        <w:rPr/>
      </w:pPr>
      <w:r>
        <w:rPr/>
        <w:t>The Client may audit Kainam’s compliance with this Agreement and applicable data protection laws once per calendar year, upon thirty (30) days’ written notice.</w:t>
      </w:r>
    </w:p>
    <w:p>
      <w:pPr>
        <w:pStyle w:val="Normal"/>
        <w:numPr>
          <w:ilvl w:val="0"/>
          <w:numId w:val="11"/>
        </w:numPr>
        <w:rPr/>
      </w:pPr>
      <w:r>
        <w:rPr/>
        <w:t>Audits may include review of security controls, data handling practices, and compliance documentation.</w:t>
      </w:r>
    </w:p>
    <w:p>
      <w:pPr>
        <w:pStyle w:val="Normal"/>
        <w:numPr>
          <w:ilvl w:val="0"/>
          <w:numId w:val="11"/>
        </w:numPr>
        <w:rPr/>
      </w:pPr>
      <w:r>
        <w:rPr/>
        <w:t>Audits shall be conducted during normal business hours and in a manner that minimizes disruption to Kainam’s operations.</w:t>
      </w:r>
    </w:p>
    <w:p>
      <w:pPr>
        <w:pStyle w:val="Normal"/>
        <w:numPr>
          <w:ilvl w:val="0"/>
          <w:numId w:val="11"/>
        </w:numPr>
        <w:rPr/>
      </w:pPr>
      <w:r>
        <w:rPr/>
        <w:t>The scope of the audit shall be limited to systems, processes, and records directly related to the Platform and Client Data.</w:t>
      </w:r>
    </w:p>
    <w:p>
      <w:pPr>
        <w:pStyle w:val="Normal"/>
        <w:numPr>
          <w:ilvl w:val="0"/>
          <w:numId w:val="11"/>
        </w:numPr>
        <w:rPr/>
      </w:pPr>
      <w:r>
        <w:rPr/>
        <w:t>Kainam will cooperate with reasonable audit requests and provide access to relevant personnel and documentation.</w:t>
      </w:r>
    </w:p>
    <w:p>
      <w:pPr>
        <w:pStyle w:val="Normal"/>
        <w:numPr>
          <w:ilvl w:val="0"/>
          <w:numId w:val="11"/>
        </w:numPr>
        <w:rPr/>
      </w:pPr>
      <w:r>
        <w:rPr/>
        <w:t>All information obtained during an audit shall be treated as confidential by the Client.</w:t>
      </w:r>
    </w:p>
    <w:p>
      <w:pPr>
        <w:pStyle w:val="Normal"/>
        <w:rPr/>
      </w:pPr>
      <w:r>
        <w:rPr/>
      </w:r>
    </w:p>
    <w:p>
      <w:pPr>
        <w:pStyle w:val="Heading1"/>
        <w:rPr/>
      </w:pPr>
      <w:bookmarkStart w:id="11" w:name="_Toc220431697"/>
      <w:r>
        <w:rPr/>
        <w:t>Subcontractor Compliance</w:t>
      </w:r>
      <w:bookmarkEnd w:id="11"/>
    </w:p>
    <w:p>
      <w:pPr>
        <w:pStyle w:val="Normal"/>
        <w:rPr/>
      </w:pPr>
      <w:r>
        <w:rPr/>
        <w:t>Kainam may engage subcontractors to perform its obligations under this Agreement, provided that:</w:t>
      </w:r>
    </w:p>
    <w:p>
      <w:pPr>
        <w:pStyle w:val="Normal"/>
        <w:numPr>
          <w:ilvl w:val="0"/>
          <w:numId w:val="13"/>
        </w:numPr>
        <w:rPr/>
      </w:pPr>
      <w:r>
        <w:rPr/>
        <w:t>Kainam remains fully responsible for the acts and omissions of its subcontractors.</w:t>
      </w:r>
    </w:p>
    <w:p>
      <w:pPr>
        <w:pStyle w:val="Normal"/>
        <w:numPr>
          <w:ilvl w:val="0"/>
          <w:numId w:val="13"/>
        </w:numPr>
        <w:rPr/>
      </w:pPr>
      <w:r>
        <w:rPr/>
        <w:t>Kainam shall ensure that all subcontractors are bound by written agreements requiring compliance with the confidentiality, data protection, and security obligations set forth in this Agreement.</w:t>
      </w:r>
    </w:p>
    <w:p>
      <w:pPr>
        <w:pStyle w:val="Normal"/>
        <w:numPr>
          <w:ilvl w:val="0"/>
          <w:numId w:val="13"/>
        </w:numPr>
        <w:rPr/>
      </w:pPr>
      <w:r>
        <w:rPr/>
        <w:t>Kainam will notify the Client in advance if any material portion of the services will be performed by a subcontractor.</w:t>
      </w:r>
    </w:p>
    <w:p>
      <w:pPr>
        <w:pStyle w:val="Normal"/>
        <w:numPr>
          <w:ilvl w:val="0"/>
          <w:numId w:val="13"/>
        </w:numPr>
        <w:rPr/>
      </w:pPr>
      <w:r>
        <w:rPr/>
        <w:t>Upon reasonable request, Kainam will provide the Client with information regarding subcontractors involved in the provision of services under this Agreement.</w:t>
      </w:r>
    </w:p>
    <w:p>
      <w:pPr>
        <w:pStyle w:val="Normal"/>
        <w:numPr>
          <w:ilvl w:val="0"/>
          <w:numId w:val="13"/>
        </w:numPr>
        <w:rPr/>
      </w:pPr>
      <w:r>
        <w:rPr/>
        <w:t>The Client’s audit rights under this Agreement shall extend to relevant subcontractors, subject to reasonable limitations.</w:t>
      </w:r>
    </w:p>
    <w:p>
      <w:pPr>
        <w:pStyle w:val="Heading1"/>
        <w:rPr/>
      </w:pPr>
      <w:bookmarkStart w:id="12" w:name="_Toc220431698"/>
      <w:r>
        <w:rPr/>
        <w:t>Change Management</w:t>
      </w:r>
      <w:bookmarkEnd w:id="12"/>
    </w:p>
    <w:p>
      <w:pPr>
        <w:pStyle w:val="Normal"/>
        <w:rPr/>
      </w:pPr>
      <w:r>
        <w:rPr/>
        <w:t>Kainam may update or modify the Platform, providing advance notice of major changes or downtime.</w:t>
      </w:r>
    </w:p>
    <w:p>
      <w:pPr>
        <w:pStyle w:val="Heading1"/>
        <w:rPr/>
      </w:pPr>
      <w:bookmarkStart w:id="13" w:name="_Toc220431699"/>
      <w:r>
        <w:rPr/>
        <w:t>Governing Law and Miscellaneous</w:t>
      </w:r>
      <w:bookmarkEnd w:id="13"/>
    </w:p>
    <w:p>
      <w:pPr>
        <w:pStyle w:val="Normal"/>
        <w:rPr/>
      </w:pPr>
      <w:r>
        <w:rPr/>
        <w:t>This Agreement is governed by Delaware law. No assignment without written consent. This is the entire agreement; changes require written consent. No third-party rights. Notices must be in writing and sent to the contacts listed.</w:t>
      </w:r>
    </w:p>
    <w:p>
      <w:pPr>
        <w:pStyle w:val="Heading1"/>
        <w:rPr/>
      </w:pPr>
      <w:bookmarkStart w:id="14" w:name="_Toc220431700"/>
      <w:r>
        <w:rPr/>
        <w:t>Force Majeure</w:t>
      </w:r>
      <w:bookmarkEnd w:id="14"/>
    </w:p>
    <w:p>
      <w:pPr>
        <w:pStyle w:val="Normal"/>
        <w:rPr/>
      </w:pPr>
      <w:r>
        <w:rPr/>
        <w:t>Neither party is liable for failure to perform due to events beyond their control (e.g., natural disasters, war, government action).</w:t>
      </w:r>
    </w:p>
    <w:p>
      <w:pPr>
        <w:pStyle w:val="Heading1"/>
        <w:rPr/>
      </w:pPr>
      <w:bookmarkStart w:id="15" w:name="_Toc220431701"/>
      <w:r>
        <w:rPr/>
        <w:t>Fees and Agreement Duration</w:t>
      </w:r>
      <w:bookmarkEnd w:id="15"/>
    </w:p>
    <w:p>
      <w:pPr>
        <w:pStyle w:val="Normal"/>
        <w:rPr/>
      </w:pPr>
      <w:r>
        <w:rPr/>
        <w:t xml:space="preserve">Platform Fee: </w:t>
      </w:r>
    </w:p>
    <w:p>
      <w:pPr>
        <w:pStyle w:val="ListParagraph"/>
        <w:numPr>
          <w:ilvl w:val="0"/>
          <w:numId w:val="8"/>
        </w:numPr>
        <w:rPr/>
      </w:pPr>
      <w:r>
        <w:rPr/>
        <w:t xml:space="preserve">Client will pay an annual base fee of $XX for a contract duration of X years. </w:t>
      </w:r>
    </w:p>
    <w:p>
      <w:pPr>
        <w:pStyle w:val="ListParagraph"/>
        <w:numPr>
          <w:ilvl w:val="0"/>
          <w:numId w:val="8"/>
        </w:numPr>
        <w:rPr/>
      </w:pPr>
      <w:r>
        <w:rPr/>
        <w:t>Initial Payment: Calendar Month when software is available to the Customer.</w:t>
      </w:r>
    </w:p>
    <w:p>
      <w:pPr>
        <w:pStyle w:val="ListParagraph"/>
        <w:numPr>
          <w:ilvl w:val="0"/>
          <w:numId w:val="8"/>
        </w:numPr>
        <w:rPr/>
      </w:pPr>
      <w:r>
        <w:rPr/>
        <w:t>Subsequent Payments: Same calendar month each year for the contract duration.</w:t>
      </w:r>
    </w:p>
    <w:p>
      <w:pPr>
        <w:pStyle w:val="Normal"/>
        <w:rPr/>
      </w:pPr>
      <w:r>
        <w:rPr/>
        <w:t>Consumption Fee:</w:t>
      </w:r>
    </w:p>
    <w:p>
      <w:pPr>
        <w:pStyle w:val="ListParagraph"/>
        <w:numPr>
          <w:ilvl w:val="0"/>
          <w:numId w:val="9"/>
        </w:numPr>
        <w:rPr/>
      </w:pPr>
      <w:r>
        <w:rPr/>
        <w:t xml:space="preserve">For Kainam hosted environments, consumption fees are billed quarterly, plus $100 per quarter processing and handling fee. </w:t>
      </w:r>
    </w:p>
    <w:p>
      <w:pPr>
        <w:pStyle w:val="ListParagraph"/>
        <w:numPr>
          <w:ilvl w:val="0"/>
          <w:numId w:val="9"/>
        </w:numPr>
        <w:rPr/>
      </w:pPr>
      <w:r>
        <w:rPr/>
        <w:t>Kainam reserves the right to update consumption fees with reasonable notice and will make best efforts to ensure transparency and predictability in billing.</w:t>
      </w:r>
    </w:p>
    <w:p>
      <w:pPr>
        <w:pStyle w:val="ListParagraph"/>
        <w:numPr>
          <w:ilvl w:val="0"/>
          <w:numId w:val="9"/>
        </w:numPr>
        <w:rPr/>
      </w:pPr>
      <w:r>
        <w:rPr/>
        <w:t>If the Kainam Platform is hosted in Client private cloud, then the Client is responsible for any consumption costs.</w:t>
      </w:r>
    </w:p>
    <w:p>
      <w:pPr>
        <w:pStyle w:val="Heading1"/>
        <w:rPr/>
      </w:pPr>
      <w:bookmarkStart w:id="16" w:name="_Toc220431702"/>
      <w:r>
        <w:rPr/>
        <w:t>Payment Terms</w:t>
      </w:r>
      <w:bookmarkEnd w:id="16"/>
    </w:p>
    <w:p>
      <w:pPr>
        <w:pStyle w:val="Normal"/>
        <w:rPr/>
      </w:pPr>
      <w:r>
        <w:rPr/>
        <w:t>All payments are due within thirty (30) days of the invoice date.</w:t>
      </w:r>
    </w:p>
    <w:p>
      <w:pPr>
        <w:pStyle w:val="Normal"/>
        <w:numPr>
          <w:ilvl w:val="0"/>
          <w:numId w:val="12"/>
        </w:numPr>
        <w:rPr/>
      </w:pPr>
      <w:r>
        <w:rPr/>
        <w:t>If any payment is not received by the due date, Kainam may charge interest on the overdue amount at a rate of one and one-half percent (1.5%) per month (or the maximum rate permitted by law, if lower), calculated from the due date until payment is received.</w:t>
      </w:r>
    </w:p>
    <w:p>
      <w:pPr>
        <w:pStyle w:val="Normal"/>
        <w:numPr>
          <w:ilvl w:val="0"/>
          <w:numId w:val="12"/>
        </w:numPr>
        <w:rPr/>
      </w:pPr>
      <w:r>
        <w:rPr/>
        <w:t>If any undisputed amount remains unpaid more than thirty (30) days past its due date, Kainam may, upon ten (10) days’ prior written notice and a failure to cure within that period, suspend Client’s access to the Platform until all outstanding amounts are paid in full. Suspension does not relieve Client of its payment obligations and does not extend the term of this Agreement.</w:t>
      </w:r>
    </w:p>
    <w:p>
      <w:pPr>
        <w:pStyle w:val="Normal"/>
        <w:numPr>
          <w:ilvl w:val="0"/>
          <w:numId w:val="12"/>
        </w:numPr>
        <w:rPr/>
      </w:pPr>
      <w:r>
        <w:rPr/>
        <w:t>The Client shall reimburse Kainam for all reasonable costs incurred in collecting overdue payments, including legal fees.</w:t>
      </w:r>
    </w:p>
    <w:p>
      <w:pPr>
        <w:pStyle w:val="Heading1"/>
        <w:rPr/>
      </w:pPr>
      <w:bookmarkStart w:id="17" w:name="_Toc220431703"/>
      <w:r>
        <w:rPr/>
        <w:t>Payments</w:t>
      </w:r>
      <w:bookmarkEnd w:id="17"/>
    </w:p>
    <w:p>
      <w:pPr>
        <w:pStyle w:val="Normal"/>
        <w:rPr/>
      </w:pPr>
      <w:r>
        <w:rPr/>
        <w:t xml:space="preserve">Payment is by wire transfer and Client pays all transfer fees. Payment inquiries and confirmation should be sent to </w:t>
      </w:r>
      <w:hyperlink r:id="rId6">
        <w:r>
          <w:rPr>
            <w:rStyle w:val="Hyperlink"/>
          </w:rPr>
          <w:t>AR@Kainam.ai</w:t>
        </w:r>
      </w:hyperlink>
      <w:r>
        <w:rPr/>
        <w:t xml:space="preserve"> </w:t>
      </w:r>
    </w:p>
    <w:p>
      <w:pPr>
        <w:pStyle w:val="Normal"/>
        <w:rPr/>
      </w:pPr>
      <w:r>
        <w:rPr/>
      </w:r>
    </w:p>
    <w:p>
      <w:pPr>
        <w:pStyle w:val="Normal"/>
        <w:rPr/>
      </w:pPr>
      <w:r>
        <w:rPr/>
        <w:t>Wire Transfer Instructions:</w:t>
      </w:r>
    </w:p>
    <w:p>
      <w:pPr>
        <w:pStyle w:val="Normal"/>
        <w:rPr/>
      </w:pPr>
      <w:r>
        <w:rPr/>
        <w:t>Wire transfer instructions will be provided on each invoice issued to Client. Please include your company name and invoice number as the payment reference to ensure proper credit. To verify the authenticity of any wire instructions before initiating payment, contact Kainam Accounts Receivable at AR@Kainam.ai using contact information from a prior verified communication or from https://kainam.ai. Kainam will never request payment to a new or changed account without separate written confirmation from an authorized Kainam representative.</w:t>
      </w:r>
    </w:p>
    <w:p>
      <w:pPr>
        <w:pStyle w:val="Normal"/>
        <w:rPr/>
      </w:pPr>
      <w:r>
        <w:rPr/>
      </w:r>
    </w:p>
    <w:p>
      <w:pPr>
        <w:pStyle w:val="Normal"/>
        <w:rPr/>
      </w:pPr>
      <w:r>
        <w:rPr/>
      </w:r>
    </w:p>
    <w:p>
      <w:pPr>
        <w:pStyle w:val="Normal"/>
        <w:rPr/>
      </w:pPr>
      <w:r>
        <w:rPr/>
      </w:r>
    </w:p>
    <w:p>
      <w:pPr>
        <w:pStyle w:val="Heading1"/>
        <w:rPr/>
      </w:pPr>
      <w:bookmarkStart w:id="18" w:name="_Toc220431704"/>
      <w:r>
        <w:rPr/>
        <w:t>Signatures and Execution</w:t>
      </w:r>
      <w:bookmarkEnd w:id="18"/>
    </w:p>
    <w:p>
      <w:pPr>
        <w:pStyle w:val="Normal"/>
        <w:rPr>
          <w:rFonts w:eastAsia="Arial"/>
        </w:rPr>
      </w:pPr>
      <w:r>
        <w:rPr/>
        <w:t>This Agreement shall be effective upon execution by authorized representatives of both parties.</w:t>
      </w:r>
    </w:p>
    <w:tbl>
      <w:tblPr>
        <w:tblStyle w:val="PlainTable1"/>
        <w:tblW w:w="8630" w:type="dxa"/>
        <w:jc w:val="left"/>
        <w:tblInd w:w="0" w:type="dxa"/>
        <w:tblLayout w:type="fixed"/>
        <w:tblCellMar>
          <w:top w:w="0" w:type="dxa"/>
          <w:left w:w="108" w:type="dxa"/>
          <w:bottom w:w="0" w:type="dxa"/>
          <w:right w:w="108" w:type="dxa"/>
        </w:tblCellMar>
        <w:tblLook w:val="0400" w:noHBand="0" w:noVBand="1" w:firstColumn="0" w:lastRow="0" w:lastColumn="0" w:firstRow="0"/>
      </w:tblPr>
      <w:tblGrid>
        <w:gridCol w:w="4339"/>
        <w:gridCol w:w="4290"/>
      </w:tblGrid>
      <w:tr>
        <w:trPr>
          <w:trHeight w:val="576" w:hRule="atLeast"/>
          <w:cnfStyle w:val="000000100000" w:firstRow="0" w:lastRow="0" w:firstColumn="0" w:lastColumn="0" w:oddVBand="0" w:evenVBand="0" w:oddHBand="1" w:evenHBand="0" w:firstRowFirstColumn="0" w:firstRowLastColumn="0" w:lastRowFirstColumn="0" w:lastRowLastColumn="0"/>
        </w:trPr>
        <w:tc>
          <w:tcPr>
            <w:tcW w:w="4339"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Kainam Corporation</w:t>
            </w:r>
          </w:p>
        </w:tc>
        <w:tc>
          <w:tcPr>
            <w:tcW w:w="4290"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Kainam Client: </w:t>
            </w:r>
          </w:p>
        </w:tc>
      </w:tr>
      <w:tr>
        <w:trPr>
          <w:trHeight w:val="576" w:hRule="atLeast"/>
        </w:trPr>
        <w:tc>
          <w:tcPr>
            <w:tcW w:w="4339" w:type="dxa"/>
            <w:tcBorders/>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Signature: </w:t>
            </w:r>
          </w:p>
        </w:tc>
        <w:tc>
          <w:tcPr>
            <w:tcW w:w="4290" w:type="dxa"/>
            <w:tcBorders/>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Signature: </w:t>
            </w:r>
          </w:p>
        </w:tc>
      </w:tr>
      <w:tr>
        <w:trPr>
          <w:trHeight w:val="576" w:hRule="atLeast"/>
          <w:cnfStyle w:val="000000100000" w:firstRow="0" w:lastRow="0" w:firstColumn="0" w:lastColumn="0" w:oddVBand="0" w:evenVBand="0" w:oddHBand="1" w:evenHBand="0" w:firstRowFirstColumn="0" w:firstRowLastColumn="0" w:lastRowFirstColumn="0" w:lastRowLastColumn="0"/>
        </w:trPr>
        <w:tc>
          <w:tcPr>
            <w:tcW w:w="4339"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Name: Louis Litrenta</w:t>
            </w:r>
          </w:p>
        </w:tc>
        <w:tc>
          <w:tcPr>
            <w:tcW w:w="4290"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Name: </w:t>
            </w:r>
          </w:p>
        </w:tc>
      </w:tr>
      <w:tr>
        <w:trPr>
          <w:trHeight w:val="576" w:hRule="atLeast"/>
        </w:trPr>
        <w:tc>
          <w:tcPr>
            <w:tcW w:w="4339" w:type="dxa"/>
            <w:tcBorders/>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Title: VP, Sales</w:t>
            </w:r>
          </w:p>
        </w:tc>
        <w:tc>
          <w:tcPr>
            <w:tcW w:w="4290" w:type="dxa"/>
            <w:tcBorders/>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Title: </w:t>
            </w:r>
          </w:p>
        </w:tc>
      </w:tr>
      <w:tr>
        <w:trPr>
          <w:trHeight w:val="576" w:hRule="atLeast"/>
          <w:cnfStyle w:val="000000100000" w:firstRow="0" w:lastRow="0" w:firstColumn="0" w:lastColumn="0" w:oddVBand="0" w:evenVBand="0" w:oddHBand="1" w:evenHBand="0" w:firstRowFirstColumn="0" w:firstRowLastColumn="0" w:lastRowFirstColumn="0" w:lastRowLastColumn="0"/>
        </w:trPr>
        <w:tc>
          <w:tcPr>
            <w:tcW w:w="4339"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 xml:space="preserve">Date: </w:t>
            </w:r>
          </w:p>
        </w:tc>
        <w:tc>
          <w:tcPr>
            <w:tcW w:w="4290" w:type="dxa"/>
            <w:tcBorders/>
            <w:shd w:color="auto" w:fill="F2F2F2" w:themeFill="background1" w:themeFillShade="f2" w:val="clear"/>
          </w:tcPr>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r>
          </w:p>
          <w:p>
            <w:pPr>
              <w:pStyle w:val="Normal"/>
              <w:widowControl/>
              <w:spacing w:before="0" w:after="0"/>
              <w:contextualSpacing/>
              <w:jc w:val="left"/>
              <w:rPr>
                <w:rFonts w:ascii="Cambria" w:hAnsi="Cambria" w:eastAsia="Arial" w:asciiTheme="minorHAnsi" w:hAnsiTheme="minorHAnsi"/>
                <w:sz w:val="22"/>
                <w:szCs w:val="22"/>
              </w:rPr>
            </w:pPr>
            <w:r>
              <w:rPr>
                <w:rFonts w:eastAsia="Arial" w:cs="Times New Roman"/>
                <w:kern w:val="0"/>
                <w:sz w:val="22"/>
                <w:szCs w:val="22"/>
                <w:lang w:val="en-US" w:eastAsia="en-US" w:bidi="ar-SA"/>
              </w:rPr>
              <w:t>Date:</w:t>
            </w:r>
          </w:p>
        </w:tc>
      </w:tr>
    </w:tbl>
    <w:p>
      <w:pPr>
        <w:pStyle w:val="Heading1"/>
        <w:rPr>
          <w:rFonts w:eastAsia="Arial"/>
        </w:rPr>
      </w:pPr>
      <w:r>
        <w:rPr>
          <w:rFonts w:eastAsia="Arial"/>
        </w:rPr>
      </w:r>
    </w:p>
    <w:sectPr>
      <w:headerReference w:type="even" r:id="rId7"/>
      <w:headerReference w:type="default" r:id="rId8"/>
      <w:headerReference w:type="first" r:id="rId9"/>
      <w:footerReference w:type="even" r:id="rId10"/>
      <w:footerReference w:type="default" r:id="rId11"/>
      <w:footerReference w:type="first" r:id="rId12"/>
      <w:type w:val="nextPage"/>
      <w:pgSz w:w="12240" w:h="15840"/>
      <w:pgMar w:left="1800" w:right="1800" w:gutter="0" w:header="720" w:top="1440" w:footer="72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Calibri">
    <w:charset w:val="01"/>
    <w:family w:val="roman"/>
    <w:pitch w:val="variable"/>
  </w:font>
  <w:font w:name="Courier">
    <w:altName w:val="Courier New"/>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pBdr>
            <w:top w:val="single" w:sz="4" w:space="1" w:color="000000"/>
          </w:pBdr>
          <w:rPr/>
        </w:pPr>
        <w:r>
          <w:rPr>
            <w:bCs/>
          </w:rPr>
          <w:t>KAI- Platform as a Service Agreement 2026</w:t>
        </w:r>
        <w:r>
          <w:rPr/>
          <w:tab/>
          <w:tab/>
          <w:t xml:space="preserve">Page </w:t>
        </w:r>
        <w:r>
          <w:rPr/>
          <w:fldChar w:fldCharType="begin"/>
        </w:r>
        <w:r>
          <w:rPr/>
          <w:instrText xml:space="preserve"> PAGE </w:instrText>
        </w:r>
        <w:r>
          <w:rPr/>
          <w:fldChar w:fldCharType="separate"/>
        </w:r>
        <w:r>
          <w:rPr/>
          <w:t>9</w:t>
        </w:r>
        <w:r>
          <w:rPr/>
          <w:fldChar w:fldCharType="end"/>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pBdr>
            <w:top w:val="single" w:sz="4" w:space="1" w:color="000000"/>
          </w:pBdr>
          <w:rPr/>
        </w:pPr>
        <w:r>
          <w:rPr>
            <w:bCs/>
          </w:rPr>
          <w:t>KAI- Platform as a Service Agreement 2026</w:t>
        </w:r>
        <w:r>
          <w:rPr/>
          <w:tab/>
          <w:tab/>
          <w:t xml:space="preserve">Page </w:t>
        </w:r>
        <w:r>
          <w:rPr/>
          <w:fldChar w:fldCharType="begin"/>
        </w:r>
        <w:r>
          <w:rPr/>
          <w:instrText xml:space="preserve"> PAGE </w:instrText>
        </w:r>
        <w:r>
          <w:rPr/>
          <w:fldChar w:fldCharType="separate"/>
        </w:r>
        <w:r>
          <w:rPr/>
          <w:t>9</w:t>
        </w:r>
        <w:r>
          <w:rPr/>
          <w:fldChar w:fldCharType="end"/>
        </w:r>
      </w:p>
      <w:p>
        <w:pPr>
          <w:pStyle w:val="Footer"/>
          <w:rPr/>
        </w:pPr>
        <w:r>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0">
          <wp:simplePos x="0" y="0"/>
          <wp:positionH relativeFrom="column">
            <wp:posOffset>-580390</wp:posOffset>
          </wp:positionH>
          <wp:positionV relativeFrom="paragraph">
            <wp:posOffset>-254000</wp:posOffset>
          </wp:positionV>
          <wp:extent cx="2272030" cy="533400"/>
          <wp:effectExtent l="0" t="0" r="0" b="0"/>
          <wp:wrapNone/>
          <wp:docPr id="1" name="Google Shape;112;p1" descr="Kainam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ogle Shape;112;p1" descr="Kainam 03.png"/>
                  <pic:cNvPicPr>
                    <a:picLocks noChangeAspect="1" noChangeArrowheads="1"/>
                  </pic:cNvPicPr>
                </pic:nvPicPr>
                <pic:blipFill>
                  <a:blip r:embed="rId1"/>
                  <a:stretch>
                    <a:fillRect/>
                  </a:stretch>
                </pic:blipFill>
                <pic:spPr bwMode="auto">
                  <a:xfrm>
                    <a:off x="0" y="0"/>
                    <a:ext cx="2272030" cy="53340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0">
          <wp:simplePos x="0" y="0"/>
          <wp:positionH relativeFrom="column">
            <wp:posOffset>-580390</wp:posOffset>
          </wp:positionH>
          <wp:positionV relativeFrom="paragraph">
            <wp:posOffset>-254000</wp:posOffset>
          </wp:positionV>
          <wp:extent cx="2272030" cy="533400"/>
          <wp:effectExtent l="0" t="0" r="0" b="0"/>
          <wp:wrapNone/>
          <wp:docPr id="2" name="Google Shape;112;p1" descr="Kainam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oogle Shape;112;p1" descr="Kainam 03.png"/>
                  <pic:cNvPicPr>
                    <a:picLocks noChangeAspect="1" noChangeArrowheads="1"/>
                  </pic:cNvPicPr>
                </pic:nvPicPr>
                <pic:blipFill>
                  <a:blip r:embed="rId1"/>
                  <a:stretch>
                    <a:fillRect/>
                  </a:stretch>
                </pic:blipFill>
                <pic:spPr bwMode="auto">
                  <a:xfrm>
                    <a:off x="0" y="0"/>
                    <a:ext cx="2272030" cy="53340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1080"/>
        </w:tabs>
        <w:ind w:left="108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62332"/>
    <w:pPr>
      <w:widowControl/>
      <w:bidi w:val="0"/>
      <w:spacing w:lineRule="auto" w:line="240" w:before="0" w:after="200"/>
      <w:contextualSpacing/>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b07024"/>
    <w:pPr>
      <w:keepNext w:val="true"/>
      <w:keepLines/>
      <w:spacing w:before="480" w:after="0"/>
      <w:contextualSpacing/>
      <w:outlineLvl w:val="0"/>
    </w:pPr>
    <w:rPr>
      <w:rFonts w:ascii="Cambria" w:hAnsi="Cambria" w:eastAsia="ＭＳ ゴシック" w:cs="" w:cstheme="majorBidi" w:eastAsiaTheme="majorEastAsia"/>
      <w:b/>
      <w:bCs/>
      <w:color w:themeColor="accent1" w:themeShade="bf" w:val="365F91"/>
      <w:sz w:val="28"/>
      <w:szCs w:val="28"/>
    </w:rPr>
  </w:style>
  <w:style w:type="paragraph" w:styleId="Heading2">
    <w:name w:val="Heading 2"/>
    <w:basedOn w:val="Normal"/>
    <w:next w:val="Normal"/>
    <w:link w:val="Heading2Char"/>
    <w:autoRedefine/>
    <w:uiPriority w:val="9"/>
    <w:unhideWhenUsed/>
    <w:qFormat/>
    <w:rsid w:val="00b07024"/>
    <w:pPr>
      <w:keepNext w:val="true"/>
      <w:keepLines/>
      <w:spacing w:before="200" w:after="0"/>
      <w:contextualSpacing/>
      <w:outlineLvl w:val="1"/>
    </w:pPr>
    <w:rPr>
      <w:rFonts w:ascii="Cambria" w:hAnsi="Cambria" w:eastAsia="ＭＳ ゴシック" w:cs="" w:cstheme="majorBidi" w:eastAsiaTheme="majorEastAsia"/>
      <w:b/>
      <w:bCs/>
      <w:color w:themeColor="accent1" w:val="4F81BD"/>
      <w:sz w:val="26"/>
      <w:szCs w:val="26"/>
    </w:rPr>
  </w:style>
  <w:style w:type="paragraph" w:styleId="Heading3">
    <w:name w:val="Heading 3"/>
    <w:basedOn w:val="Normal"/>
    <w:next w:val="Normal"/>
    <w:link w:val="Heading3Char"/>
    <w:uiPriority w:val="9"/>
    <w:unhideWhenUsed/>
    <w:qFormat/>
    <w:rsid w:val="00b07024"/>
    <w:pPr>
      <w:keepNext w:val="true"/>
      <w:keepLines/>
      <w:spacing w:before="200" w:after="0"/>
      <w:contextualSpacing/>
      <w:outlineLvl w:val="2"/>
    </w:pPr>
    <w:rPr>
      <w:rFonts w:ascii="Cambria" w:hAnsi="Cambria" w:eastAsia="ＭＳ ゴシック" w:cs="" w:cstheme="majorBidi" w:eastAsiaTheme="majorEastAsia"/>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contextualSpacing/>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contextualSpacing/>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contextualSpacing/>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contextualSpacing/>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contextualSpacing/>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contextualSpacing/>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b07024"/>
    <w:rPr>
      <w:rFonts w:ascii="Cambria" w:hAnsi="Cambria" w:eastAsia="ＭＳ ゴシック" w:cs="" w:cstheme="majorBidi" w:eastAsiaTheme="majorEastAsia"/>
      <w:b/>
      <w:bCs/>
      <w:color w:themeColor="accent1" w:themeShade="bf" w:val="365F91"/>
      <w:sz w:val="28"/>
      <w:szCs w:val="28"/>
    </w:rPr>
  </w:style>
  <w:style w:type="character" w:styleId="Heading2Char" w:customStyle="1">
    <w:name w:val="Heading 2 Char"/>
    <w:basedOn w:val="DefaultParagraphFont"/>
    <w:link w:val="Heading2"/>
    <w:uiPriority w:val="9"/>
    <w:qFormat/>
    <w:rsid w:val="00b07024"/>
    <w:rPr>
      <w:rFonts w:ascii="Cambria" w:hAnsi="Cambria" w:eastAsia="ＭＳ ゴシック" w:cs="" w:cstheme="majorBidi" w:eastAsiaTheme="majorEastAsia"/>
      <w:b/>
      <w:bCs/>
      <w:color w:themeColor="accent1" w:val="4F81BD"/>
      <w:sz w:val="26"/>
      <w:szCs w:val="26"/>
    </w:rPr>
  </w:style>
  <w:style w:type="character" w:styleId="Heading3Char" w:customStyle="1">
    <w:name w:val="Heading 3 Char"/>
    <w:basedOn w:val="DefaultParagraphFont"/>
    <w:link w:val="Heading3"/>
    <w:uiPriority w:val="9"/>
    <w:qFormat/>
    <w:rsid w:val="00b07024"/>
    <w:rPr>
      <w:rFonts w:ascii="Cambria" w:hAnsi="Cambria" w:eastAsia="ＭＳ ゴシック" w:cs="" w:cstheme="majorBidi" w:eastAsiaTheme="majorEastAsia"/>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basedOn w:val="DefaultParagraphFont"/>
    <w:uiPriority w:val="99"/>
    <w:unhideWhenUsed/>
    <w:rsid w:val="001d368d"/>
    <w:rPr>
      <w:color w:themeColor="hyperlink" w:val="0000FF"/>
      <w:u w:val="single"/>
    </w:rPr>
  </w:style>
  <w:style w:type="character" w:styleId="UnresolvedMention">
    <w:name w:val="Unresolved Mention"/>
    <w:basedOn w:val="DefaultParagraphFont"/>
    <w:uiPriority w:val="99"/>
    <w:semiHidden/>
    <w:unhideWhenUsed/>
    <w:qFormat/>
    <w:rsid w:val="00c23ca9"/>
    <w:rPr>
      <w:color w:val="605E5C"/>
      <w:shd w:fill="E1DFDD" w:val="clear"/>
    </w:rPr>
  </w:style>
  <w:style w:type="character" w:styleId="gd" w:customStyle="1">
    <w:name w:val="gd"/>
    <w:basedOn w:val="DefaultParagraphFont"/>
    <w:qFormat/>
    <w:rsid w:val="00c960a5"/>
    <w:rPr/>
  </w:style>
  <w:style w:type="character" w:styleId="IndexLink">
    <w:name w:val="Index Link"/>
    <w:qFormat/>
    <w:rPr/>
  </w:style>
  <w:style w:type="character" w:styleId="LineNumber">
    <w:name w:val="Line Number"/>
    <w:rPr/>
  </w:style>
  <w:style w:type="paragraph" w:styleId="Heading">
    <w:name w:val="Heading"/>
    <w:basedOn w:val="Normal"/>
    <w:next w:val="BodyText"/>
    <w:qFormat/>
    <w:pPr>
      <w:keepNext w:val="true"/>
      <w:spacing w:before="240" w:after="120"/>
      <w:contextualSpacing w:val="false"/>
    </w:pPr>
    <w:rPr>
      <w:rFonts w:ascii="Liberation Sans" w:hAnsi="Liberation Sans" w:eastAsia="Noto Sans CJK SC" w:cs="FreeSans"/>
      <w:sz w:val="28"/>
      <w:szCs w:val="28"/>
    </w:rPr>
  </w:style>
  <w:style w:type="paragraph" w:styleId="BodyText">
    <w:name w:val="Body Text"/>
    <w:basedOn w:val="Normal"/>
    <w:link w:val="BodyTextChar"/>
    <w:uiPriority w:val="99"/>
    <w:unhideWhenUsed/>
    <w:rsid w:val="00aa1d8d"/>
    <w:pPr>
      <w:spacing w:before="0" w:after="120"/>
      <w:contextualSpacing/>
    </w:pPr>
    <w:rPr/>
  </w:style>
  <w:style w:type="paragraph" w:styleId="List">
    <w:name w:val="List"/>
    <w:basedOn w:val="Normal"/>
    <w:uiPriority w:val="99"/>
    <w:unhideWhenUsed/>
    <w:rsid w:val="00aa1d8d"/>
    <w:pPr>
      <w:ind w:hanging="360" w:left="360"/>
    </w:pPr>
    <w:rPr/>
  </w:style>
  <w:style w:type="paragraph" w:styleId="Caption">
    <w:name w:val="Caption"/>
    <w:basedOn w:val="Normal"/>
    <w:next w:val="Normal"/>
    <w:uiPriority w:val="35"/>
    <w:semiHidden/>
    <w:unhideWhenUsed/>
    <w:qFormat/>
    <w:rsid w:val="00fc693f"/>
    <w:pPr/>
    <w:rPr>
      <w:b/>
      <w:bCs/>
      <w:color w:themeColor="accent1" w:val="4F81BD"/>
      <w:sz w:val="18"/>
      <w:szCs w:val="18"/>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before="0" w:after="0"/>
      <w:contextualSpacing/>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before="0" w:after="0"/>
      <w:contextualSpacing/>
    </w:pPr>
    <w:rPr/>
  </w:style>
  <w:style w:type="paragraph" w:styleId="NoSpacing">
    <w:name w:val="No Spacing"/>
    <w:uiPriority w:val="1"/>
    <w:qFormat/>
    <w:rsid w:val="00fc693f"/>
    <w:pPr>
      <w:widowControl/>
      <w:bidi w:val="0"/>
      <w:spacing w:lineRule="auto" w:line="240" w:before="0" w:after="0"/>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before="0" w:after="300"/>
      <w:contextualSpacing/>
    </w:pPr>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99"/>
    <w:qFormat/>
    <w:rsid w:val="00fc693f"/>
    <w:pPr>
      <w:ind w:left="720"/>
    </w:pPr>
    <w:rPr/>
  </w:style>
  <w:style w:type="paragraph" w:styleId="BodyText2">
    <w:name w:val="Body Text 2"/>
    <w:basedOn w:val="Normal"/>
    <w:link w:val="BodyText2Char"/>
    <w:uiPriority w:val="99"/>
    <w:unhideWhenUsed/>
    <w:qFormat/>
    <w:rsid w:val="00aa1d8d"/>
    <w:pPr>
      <w:spacing w:lineRule="auto" w:line="480" w:before="0" w:after="120"/>
      <w:contextualSpacing/>
    </w:pPr>
    <w:rPr/>
  </w:style>
  <w:style w:type="paragraph" w:styleId="BodyText3">
    <w:name w:val="Body Text 3"/>
    <w:basedOn w:val="Normal"/>
    <w:link w:val="BodyText3Char"/>
    <w:uiPriority w:val="99"/>
    <w:unhideWhenUsed/>
    <w:qFormat/>
    <w:rsid w:val="00aa1d8d"/>
    <w:pPr>
      <w:spacing w:before="0" w:after="120"/>
      <w:contextualSpacing/>
    </w:pPr>
    <w:rPr>
      <w:sz w:val="16"/>
      <w:szCs w:val="16"/>
    </w:rPr>
  </w:style>
  <w:style w:type="paragraph" w:styleId="List2">
    <w:name w:val="List 2"/>
    <w:basedOn w:val="Normal"/>
    <w:uiPriority w:val="99"/>
    <w:unhideWhenUsed/>
    <w:qFormat/>
    <w:rsid w:val="00326f90"/>
    <w:pPr>
      <w:ind w:hanging="360" w:left="720"/>
    </w:pPr>
    <w:rPr/>
  </w:style>
  <w:style w:type="paragraph" w:styleId="List3">
    <w:name w:val="List 3"/>
    <w:basedOn w:val="Normal"/>
    <w:uiPriority w:val="99"/>
    <w:unhideWhenUsed/>
    <w:qFormat/>
    <w:rsid w:val="00326f90"/>
    <w:pPr>
      <w:ind w:hanging="360" w:left="1080"/>
    </w:pPr>
    <w:rPr/>
  </w:style>
  <w:style w:type="paragraph" w:styleId="ListBullet">
    <w:name w:val="List Bullet"/>
    <w:basedOn w:val="Normal"/>
    <w:uiPriority w:val="99"/>
    <w:unhideWhenUsed/>
    <w:rsid w:val="00326f90"/>
    <w:pPr>
      <w:numPr>
        <w:ilvl w:val="0"/>
        <w:numId w:val="1"/>
      </w:numPr>
    </w:pPr>
    <w:rPr/>
  </w:style>
  <w:style w:type="paragraph" w:styleId="ListBullet2">
    <w:name w:val="List Bullet 2"/>
    <w:basedOn w:val="Normal"/>
    <w:uiPriority w:val="99"/>
    <w:unhideWhenUsed/>
    <w:rsid w:val="00326f90"/>
    <w:pPr>
      <w:numPr>
        <w:ilvl w:val="0"/>
        <w:numId w:val="2"/>
      </w:numPr>
    </w:pPr>
    <w:rPr/>
  </w:style>
  <w:style w:type="paragraph" w:styleId="ListBullet3">
    <w:name w:val="List Bullet 3"/>
    <w:basedOn w:val="Normal"/>
    <w:uiPriority w:val="99"/>
    <w:unhideWhenUsed/>
    <w:rsid w:val="00326f90"/>
    <w:pPr>
      <w:numPr>
        <w:ilvl w:val="0"/>
        <w:numId w:val="3"/>
      </w:numPr>
    </w:pPr>
    <w:rPr/>
  </w:style>
  <w:style w:type="paragraph" w:styleId="ListNumber">
    <w:name w:val="List Number"/>
    <w:basedOn w:val="Normal"/>
    <w:uiPriority w:val="99"/>
    <w:unhideWhenUsed/>
    <w:rsid w:val="00326f90"/>
    <w:pPr>
      <w:numPr>
        <w:ilvl w:val="0"/>
        <w:numId w:val="4"/>
      </w:numPr>
    </w:pPr>
    <w:rPr/>
  </w:style>
  <w:style w:type="paragraph" w:styleId="ListNumber2">
    <w:name w:val="List Number 2"/>
    <w:basedOn w:val="Normal"/>
    <w:uiPriority w:val="99"/>
    <w:unhideWhenUsed/>
    <w:rsid w:val="0029639d"/>
    <w:pPr>
      <w:numPr>
        <w:ilvl w:val="0"/>
        <w:numId w:val="5"/>
      </w:numPr>
    </w:pPr>
    <w:rPr/>
  </w:style>
  <w:style w:type="paragraph" w:styleId="ListNumber3">
    <w:name w:val="List Number 3"/>
    <w:basedOn w:val="Normal"/>
    <w:uiPriority w:val="99"/>
    <w:unhideWhenUsed/>
    <w:rsid w:val="0029639d"/>
    <w:pPr>
      <w:numPr>
        <w:ilvl w:val="0"/>
        <w:numId w:val="6"/>
      </w:numPr>
    </w:pPr>
    <w:rPr/>
  </w:style>
  <w:style w:type="paragraph" w:styleId="ListContinue">
    <w:name w:val="List Continue"/>
    <w:basedOn w:val="Normal"/>
    <w:uiPriority w:val="99"/>
    <w:unhideWhenUsed/>
    <w:rsid w:val="0029639d"/>
    <w:pPr>
      <w:spacing w:before="0" w:after="120"/>
      <w:ind w:left="360"/>
      <w:contextualSpacing/>
    </w:pPr>
    <w:rPr/>
  </w:style>
  <w:style w:type="paragraph" w:styleId="ListContinue2">
    <w:name w:val="List Continue 2"/>
    <w:basedOn w:val="Normal"/>
    <w:uiPriority w:val="99"/>
    <w:unhideWhenUsed/>
    <w:rsid w:val="0029639d"/>
    <w:pPr>
      <w:spacing w:before="0" w:after="120"/>
      <w:ind w:left="720"/>
      <w:contextualSpacing/>
    </w:pPr>
    <w:rPr/>
  </w:style>
  <w:style w:type="paragraph" w:styleId="ListContinue3">
    <w:name w:val="List Continue 3"/>
    <w:basedOn w:val="Normal"/>
    <w:uiPriority w:val="99"/>
    <w:unhideWhenUsed/>
    <w:rsid w:val="0029639d"/>
    <w:pPr>
      <w:spacing w:before="0" w:after="120"/>
      <w:ind w:left="1080"/>
      <w:contextualSpacing/>
    </w:pPr>
    <w:rPr/>
  </w:style>
  <w:style w:type="paragraph" w:styleId="macro">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lef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contextualSpacing/>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unhideWhenUsed/>
    <w:qFormat/>
    <w:rsid w:val="00fc693f"/>
    <w:pPr>
      <w:outlineLvl w:val="9"/>
    </w:pPr>
    <w:rPr/>
  </w:style>
  <w:style w:type="paragraph" w:styleId="TOC1">
    <w:name w:val="TOC 1"/>
    <w:basedOn w:val="Normal"/>
    <w:next w:val="Normal"/>
    <w:autoRedefine/>
    <w:uiPriority w:val="39"/>
    <w:unhideWhenUsed/>
    <w:rsid w:val="000f3bb0"/>
    <w:pPr>
      <w:tabs>
        <w:tab w:val="clear" w:pos="720"/>
        <w:tab w:val="right" w:pos="8630" w:leader="dot"/>
      </w:tabs>
      <w:spacing w:before="0" w:after="100"/>
      <w:contextualSpacing/>
    </w:pPr>
    <w:rPr/>
  </w:style>
  <w:style w:type="paragraph" w:styleId="TOC2">
    <w:name w:val="TOC 2"/>
    <w:basedOn w:val="Normal"/>
    <w:next w:val="Normal"/>
    <w:autoRedefine/>
    <w:uiPriority w:val="39"/>
    <w:unhideWhenUsed/>
    <w:rsid w:val="001d368d"/>
    <w:pPr>
      <w:spacing w:before="0" w:after="100"/>
      <w:ind w:left="220"/>
      <w:contextualSpacing/>
    </w:pPr>
    <w:rPr/>
  </w:style>
  <w:style w:type="paragraph" w:styleId="NormalWeb">
    <w:name w:val="Normal (Web)"/>
    <w:basedOn w:val="Normal"/>
    <w:uiPriority w:val="99"/>
    <w:semiHidden/>
    <w:unhideWhenUsed/>
    <w:qFormat/>
    <w:rsid w:val="007568ca"/>
    <w:pPr/>
    <w:rPr>
      <w:rFonts w:ascii="Times New Roman" w:hAnsi="Times New Roman" w:cs="Times New Roman"/>
      <w:sz w:val="24"/>
      <w:szCs w:val="24"/>
    </w:rPr>
  </w:style>
  <w:style w:type="paragraph" w:styleId="TOC3">
    <w:name w:val="TOC 3"/>
    <w:basedOn w:val="Normal"/>
    <w:next w:val="Normal"/>
    <w:autoRedefine/>
    <w:uiPriority w:val="39"/>
    <w:unhideWhenUsed/>
    <w:rsid w:val="00347e51"/>
    <w:pPr>
      <w:spacing w:before="0" w:after="100"/>
      <w:ind w:left="440"/>
      <w:contextualSpacing/>
    </w:pPr>
    <w:rPr/>
  </w:style>
  <w:style w:type="paragraph" w:styleId="Revision">
    <w:name w:val="Revision"/>
    <w:uiPriority w:val="99"/>
    <w:semiHidden/>
    <w:qFormat/>
    <w:rsid w:val="003f66b0"/>
    <w:pPr>
      <w:widowControl/>
      <w:bidi w:val="0"/>
      <w:spacing w:lineRule="auto" w:line="240" w:before="0" w:after="0"/>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PDParagraphDefault" w:customStyle="1">
    <w:name w:val="PDParagraphDefault"/>
    <w:basedOn w:val="Normal"/>
    <w:uiPriority w:val="99"/>
    <w:qFormat/>
    <w:rsid w:val="00ed2d9d"/>
    <w:pPr>
      <w:spacing w:lineRule="auto" w:line="360" w:before="0" w:after="0"/>
      <w:contextualSpacing/>
    </w:pPr>
    <w:rPr>
      <w:rFonts w:ascii="Arial" w:hAnsi="Arial" w:eastAsia="Cambria" w:cs="Arial" w:eastAsiaTheme="minorHAnsi"/>
      <w:color w:val="2E2F35"/>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PlainTable1">
    <w:name w:val="Plain Table 1"/>
    <w:basedOn w:val="TableNormal"/>
    <w:uiPriority w:val="41"/>
    <w:rsid w:val="00045b18"/>
    <w:pPr>
      <w:spacing w:after="0" w:line="240" w:lineRule="auto"/>
    </w:pPr>
    <w:rPr>
      <w:lang w:val="en"/>
      <w:sz w:val="20"/>
      <w:szCs w:val="20"/>
    </w:rPr>
    <w:tblPr>
      <w:tblStyleRowBandSize w:val="1"/>
      <w:tblStyleColBandSize w:val="1"/>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tblStylePr w:type="firstRow">
      <w:rPr>
        <w:b/>
        <w:bCs/>
      </w:rPr>
      <w:tblPr/>
    </w:tblStylePr>
    <w:tblStylePr w:type="lastRow">
      <w:rPr>
        <w:b/>
        <w:bCs/>
      </w:rPr>
      <w:tblPr/>
      <w:tcPr>
        <w:tcBorders>
          <w:top w:val="double" w:color="BFBFBF" w:themeColor="background1" w:sz="4" w:space="0"/>
        </w:tcBorders>
      </w:tc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litrenta@kainam.ai" TargetMode="External"/><Relationship Id="rId3" Type="http://schemas.openxmlformats.org/officeDocument/2006/relationships/hyperlink" Target="https://kainam.ai/" TargetMode="External"/><Relationship Id="rId4" Type="http://schemas.openxmlformats.org/officeDocument/2006/relationships/hyperlink" Target="https://www.youtube.com/@Kainam_ai" TargetMode="External"/><Relationship Id="rId5" Type="http://schemas.openxmlformats.org/officeDocument/2006/relationships/hyperlink" Target="https://www.linkedin.com/company/kainam/" TargetMode="External"/><Relationship Id="rId6" Type="http://schemas.openxmlformats.org/officeDocument/2006/relationships/hyperlink" Target="mailto:AR@Kainam.ai"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s>
</file>

<file path=word/_rels/header2.xml.rels><?xml version="1.0" encoding="UTF-8"?><Relationships xmlns="http://schemas.openxmlformats.org/package/2006/relationships"><Relationship Id="rId1" Type="http://schemas.openxmlformats.org/officeDocument/2006/relationships/image" Target="media/image1.png"/></Relationships>
</file>

<file path=word/_rels/header3.xml.rels><?xml version="1.0" encoding="UTF-8"?><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Application>LibreOffice/24.2.7.2$Linux_X86_64 LibreOffice_project/420$Build-2</Application>
  <AppVersion>15.0000</AppVersion>
  <Pages>9</Pages>
  <Words>1350</Words>
  <Characters>7530</Characters>
  <CharactersWithSpaces>8820</CharactersWithSpaces>
  <Paragraphs>56</Paragraphs>
  <Company>Kainam,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2025-11-06T13:39:00Z</dcterms:created>
  <dc:creator>Louis Litrenta</dc:creator>
  <dc:description>generated by python-docx</dc:description>
  <dc:language>en-US</dc:language>
  <cp:lastModifiedBy/>
  <dcterms:modified xsi:type="dcterms:W3CDTF">2026-04-27T21:41:45Z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